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BE3" w:rsidRDefault="00ED6B6C" w:rsidP="00243503">
      <w:pPr>
        <w:jc w:val="center"/>
        <w:rPr>
          <w:b/>
          <w:szCs w:val="24"/>
        </w:rPr>
      </w:pPr>
      <w:r>
        <w:rPr>
          <w:noProof/>
        </w:rPr>
        <w:drawing>
          <wp:anchor distT="0" distB="0" distL="114300" distR="114300" simplePos="0" relativeHeight="251657728" behindDoc="1" locked="0" layoutInCell="1" allowOverlap="1">
            <wp:simplePos x="0" y="0"/>
            <wp:positionH relativeFrom="column">
              <wp:posOffset>-962025</wp:posOffset>
            </wp:positionH>
            <wp:positionV relativeFrom="paragraph">
              <wp:posOffset>-1522730</wp:posOffset>
            </wp:positionV>
            <wp:extent cx="7696200" cy="10866120"/>
            <wp:effectExtent l="0" t="0" r="0" b="0"/>
            <wp:wrapNone/>
            <wp:docPr id="4" name="Picture 2" descr="EJB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BS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96200" cy="10866120"/>
                    </a:xfrm>
                    <a:prstGeom prst="rect">
                      <a:avLst/>
                    </a:prstGeom>
                    <a:noFill/>
                    <a:ln>
                      <a:noFill/>
                    </a:ln>
                  </pic:spPr>
                </pic:pic>
              </a:graphicData>
            </a:graphic>
          </wp:anchor>
        </w:drawing>
      </w: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243503">
      <w:pPr>
        <w:jc w:val="center"/>
        <w:rPr>
          <w:b/>
          <w:szCs w:val="24"/>
        </w:rPr>
      </w:pPr>
    </w:p>
    <w:p w:rsidR="00996BE3" w:rsidRDefault="00996BE3" w:rsidP="003D66AE">
      <w:pPr>
        <w:rPr>
          <w:b/>
          <w:szCs w:val="24"/>
        </w:rPr>
      </w:pPr>
    </w:p>
    <w:p w:rsidR="00996BE3" w:rsidRPr="00996BE3" w:rsidRDefault="00996BE3" w:rsidP="00243503">
      <w:pPr>
        <w:jc w:val="center"/>
        <w:rPr>
          <w:b/>
          <w:color w:val="FF0000"/>
          <w:szCs w:val="24"/>
        </w:rPr>
      </w:pPr>
      <w:r w:rsidRPr="00996BE3">
        <w:rPr>
          <w:b/>
          <w:color w:val="FF0000"/>
          <w:szCs w:val="24"/>
        </w:rPr>
        <w:t>Effects of Strategic Partnerships in Building Organizational Capacity in the Oil Extractive Industry in Kenya: A Case of National Oil Corporation</w:t>
      </w:r>
    </w:p>
    <w:p w:rsidR="00996BE3" w:rsidRPr="00996BE3" w:rsidRDefault="00996BE3" w:rsidP="00243503">
      <w:pPr>
        <w:jc w:val="center"/>
        <w:rPr>
          <w:b/>
          <w:color w:val="FF0000"/>
          <w:szCs w:val="24"/>
        </w:rPr>
      </w:pPr>
    </w:p>
    <w:p w:rsidR="00996BE3" w:rsidRPr="00996BE3" w:rsidRDefault="00996BE3" w:rsidP="00243503">
      <w:pPr>
        <w:jc w:val="center"/>
        <w:rPr>
          <w:b/>
          <w:color w:val="FF0000"/>
          <w:szCs w:val="24"/>
        </w:rPr>
      </w:pPr>
      <w:r w:rsidRPr="00996BE3">
        <w:rPr>
          <w:b/>
          <w:color w:val="FF0000"/>
          <w:szCs w:val="24"/>
        </w:rPr>
        <w:t>Prof. David Minja and Lillian Waweru</w:t>
      </w:r>
    </w:p>
    <w:p w:rsidR="00996BE3" w:rsidRDefault="00996BE3" w:rsidP="00243503">
      <w:pPr>
        <w:jc w:val="center"/>
        <w:rPr>
          <w:b/>
          <w:szCs w:val="24"/>
        </w:rPr>
      </w:pPr>
    </w:p>
    <w:p w:rsidR="0082694E" w:rsidRDefault="00243503" w:rsidP="00243503">
      <w:pPr>
        <w:jc w:val="center"/>
        <w:rPr>
          <w:b/>
          <w:szCs w:val="24"/>
        </w:rPr>
      </w:pPr>
      <w:r w:rsidRPr="00243503">
        <w:rPr>
          <w:b/>
          <w:szCs w:val="24"/>
        </w:rPr>
        <w:lastRenderedPageBreak/>
        <w:t>Effects of Strategic Partnerships in Building Orga</w:t>
      </w:r>
      <w:bookmarkStart w:id="0" w:name="_GoBack"/>
      <w:bookmarkEnd w:id="0"/>
      <w:r w:rsidRPr="00243503">
        <w:rPr>
          <w:b/>
          <w:szCs w:val="24"/>
        </w:rPr>
        <w:t>nizational Capacity in the Oil Extractive Industry in Kenya: A Case of National Oil Corporation</w:t>
      </w:r>
    </w:p>
    <w:p w:rsidR="00243503" w:rsidRPr="00243503" w:rsidRDefault="00243503" w:rsidP="00243503">
      <w:pPr>
        <w:jc w:val="center"/>
        <w:rPr>
          <w:b/>
          <w:szCs w:val="24"/>
        </w:rPr>
      </w:pPr>
    </w:p>
    <w:p w:rsidR="00243503" w:rsidRPr="00243503" w:rsidRDefault="00243503" w:rsidP="00243503">
      <w:pPr>
        <w:jc w:val="center"/>
        <w:rPr>
          <w:b/>
          <w:szCs w:val="24"/>
        </w:rPr>
      </w:pPr>
      <w:r w:rsidRPr="00243503">
        <w:rPr>
          <w:b/>
          <w:szCs w:val="24"/>
          <w:vertAlign w:val="superscript"/>
        </w:rPr>
        <w:t>1*</w:t>
      </w:r>
      <w:r w:rsidR="009503A9" w:rsidRPr="00243503">
        <w:rPr>
          <w:b/>
          <w:szCs w:val="24"/>
        </w:rPr>
        <w:t>Prof. David Minja,</w:t>
      </w:r>
    </w:p>
    <w:p w:rsidR="00243503" w:rsidRPr="00243503" w:rsidRDefault="009503A9" w:rsidP="00243503">
      <w:pPr>
        <w:jc w:val="center"/>
        <w:rPr>
          <w:b/>
          <w:szCs w:val="24"/>
        </w:rPr>
      </w:pPr>
      <w:r w:rsidRPr="00243503">
        <w:rPr>
          <w:b/>
          <w:szCs w:val="24"/>
        </w:rPr>
        <w:t>Department of Public Policy and Administration, Kenyatta University</w:t>
      </w:r>
    </w:p>
    <w:p w:rsidR="00A4079B" w:rsidRPr="00243503" w:rsidRDefault="00A4079B" w:rsidP="00243503">
      <w:pPr>
        <w:jc w:val="center"/>
        <w:rPr>
          <w:b/>
          <w:szCs w:val="24"/>
        </w:rPr>
      </w:pPr>
      <w:r w:rsidRPr="00243503">
        <w:rPr>
          <w:b/>
          <w:szCs w:val="24"/>
        </w:rPr>
        <w:t>P.O. Box 184-00200, Nairobi, Kenya</w:t>
      </w:r>
    </w:p>
    <w:p w:rsidR="00243503" w:rsidRPr="00243503" w:rsidRDefault="001A34D6" w:rsidP="00243503">
      <w:pPr>
        <w:jc w:val="center"/>
        <w:rPr>
          <w:b/>
          <w:szCs w:val="24"/>
        </w:rPr>
      </w:pPr>
      <w:r w:rsidRPr="001A34D6">
        <w:rPr>
          <w:b/>
          <w:szCs w:val="24"/>
          <w:vertAlign w:val="superscript"/>
        </w:rPr>
        <w:t>*</w:t>
      </w:r>
      <w:r w:rsidR="00243503" w:rsidRPr="00243503">
        <w:rPr>
          <w:b/>
          <w:szCs w:val="24"/>
        </w:rPr>
        <w:t xml:space="preserve">Email: </w:t>
      </w:r>
      <w:hyperlink r:id="rId8" w:history="1">
        <w:r w:rsidR="00243503" w:rsidRPr="00243503">
          <w:rPr>
            <w:rStyle w:val="Hyperlink"/>
            <w:b/>
            <w:szCs w:val="24"/>
          </w:rPr>
          <w:t>minjad11@gmail.com</w:t>
        </w:r>
      </w:hyperlink>
    </w:p>
    <w:p w:rsidR="00243503" w:rsidRPr="00243503" w:rsidRDefault="00243503" w:rsidP="00243503">
      <w:pPr>
        <w:jc w:val="center"/>
        <w:rPr>
          <w:b/>
          <w:szCs w:val="24"/>
        </w:rPr>
      </w:pPr>
    </w:p>
    <w:p w:rsidR="00243503" w:rsidRPr="00243503" w:rsidRDefault="001A34D6" w:rsidP="00243503">
      <w:pPr>
        <w:jc w:val="center"/>
        <w:rPr>
          <w:b/>
          <w:szCs w:val="24"/>
        </w:rPr>
      </w:pPr>
      <w:r w:rsidRPr="001A34D6">
        <w:rPr>
          <w:b/>
          <w:szCs w:val="24"/>
          <w:vertAlign w:val="superscript"/>
        </w:rPr>
        <w:t>2</w:t>
      </w:r>
      <w:r w:rsidR="009503A9" w:rsidRPr="00243503">
        <w:rPr>
          <w:b/>
          <w:szCs w:val="24"/>
        </w:rPr>
        <w:t>Lillian Waweru,</w:t>
      </w:r>
    </w:p>
    <w:p w:rsidR="00243503" w:rsidRPr="00243503" w:rsidRDefault="009503A9" w:rsidP="00243503">
      <w:pPr>
        <w:jc w:val="center"/>
        <w:rPr>
          <w:b/>
          <w:szCs w:val="24"/>
        </w:rPr>
      </w:pPr>
      <w:r w:rsidRPr="00243503">
        <w:rPr>
          <w:b/>
          <w:szCs w:val="24"/>
        </w:rPr>
        <w:t>Department of Business Administration,</w:t>
      </w:r>
    </w:p>
    <w:p w:rsidR="009503A9" w:rsidRPr="00243503" w:rsidRDefault="009503A9" w:rsidP="00243503">
      <w:pPr>
        <w:jc w:val="center"/>
        <w:rPr>
          <w:b/>
          <w:szCs w:val="24"/>
        </w:rPr>
      </w:pPr>
      <w:r w:rsidRPr="00243503">
        <w:rPr>
          <w:b/>
          <w:szCs w:val="24"/>
        </w:rPr>
        <w:t>Daystar University</w:t>
      </w:r>
    </w:p>
    <w:p w:rsidR="00243503" w:rsidRDefault="00243503" w:rsidP="00243503">
      <w:pPr>
        <w:jc w:val="center"/>
        <w:rPr>
          <w:szCs w:val="24"/>
        </w:rPr>
      </w:pPr>
    </w:p>
    <w:p w:rsidR="003A393A" w:rsidRDefault="003A393A" w:rsidP="00243503">
      <w:pPr>
        <w:jc w:val="center"/>
        <w:rPr>
          <w:b/>
          <w:szCs w:val="24"/>
        </w:rPr>
      </w:pPr>
      <w:r>
        <w:rPr>
          <w:b/>
          <w:szCs w:val="24"/>
        </w:rPr>
        <w:t>Abstract</w:t>
      </w:r>
    </w:p>
    <w:p w:rsidR="00243503" w:rsidRDefault="00243503" w:rsidP="007B383D">
      <w:pPr>
        <w:pStyle w:val="Caption"/>
      </w:pPr>
      <w:r w:rsidRPr="00243503">
        <w:rPr>
          <w:b/>
        </w:rPr>
        <w:t>Purpose:</w:t>
      </w:r>
      <w:r w:rsidR="0056752F">
        <w:rPr>
          <w:b/>
        </w:rPr>
        <w:t xml:space="preserve"> </w:t>
      </w:r>
      <w:r w:rsidR="003A393A">
        <w:t>This study sought to</w:t>
      </w:r>
      <w:r w:rsidR="00376C7A">
        <w:t xml:space="preserve"> evaluate the effects strategic partnerships have on building capacity of firms in oil and gas industry in the emerging frontier. Theory and practice suggest that firms with low capacity to exploit oil and gas can venture into strategic alliances with well established firms to enable them acquire skills, competences and capital required to develop their capacity. The theory guiding this study was the Resource Based View of the firm.</w:t>
      </w:r>
      <w:r w:rsidR="00983C1D">
        <w:t xml:space="preserve"> The objectives of this study were: To establish whether strategic partnerships were being used by National Oil Corporation of Kenya to develop its oil and gas extractive capacity; To examine the impact of strategic partnerships in building organizational capabilities; and to identify any practical lessons that could guide other oil and gas emerging frontiers.</w:t>
      </w:r>
    </w:p>
    <w:p w:rsidR="00243503" w:rsidRDefault="00243503" w:rsidP="007B383D">
      <w:pPr>
        <w:pStyle w:val="Caption"/>
      </w:pPr>
      <w:r w:rsidRPr="00243503">
        <w:rPr>
          <w:b/>
        </w:rPr>
        <w:t>Methodology:</w:t>
      </w:r>
      <w:r w:rsidR="0056752F">
        <w:rPr>
          <w:b/>
        </w:rPr>
        <w:t xml:space="preserve"> </w:t>
      </w:r>
      <w:r w:rsidRPr="004F54AE">
        <w:t>The research</w:t>
      </w:r>
      <w:r>
        <w:t xml:space="preserve"> adopted a descriptive study</w:t>
      </w:r>
      <w:r w:rsidR="0056752F">
        <w:t xml:space="preserve"> </w:t>
      </w:r>
      <w:r>
        <w:t xml:space="preserve">and </w:t>
      </w:r>
      <w:r w:rsidRPr="004F54AE">
        <w:t xml:space="preserve">used a case study which </w:t>
      </w:r>
      <w:r>
        <w:t>was</w:t>
      </w:r>
      <w:r w:rsidRPr="004F54AE">
        <w:t xml:space="preserve"> essential for acquiring in</w:t>
      </w:r>
      <w:r>
        <w:t>-</w:t>
      </w:r>
      <w:r w:rsidRPr="004F54AE">
        <w:t xml:space="preserve"> depth information </w:t>
      </w:r>
      <w:r>
        <w:t>that</w:t>
      </w:r>
      <w:r w:rsidRPr="004F54AE">
        <w:t xml:space="preserve"> was required for th</w:t>
      </w:r>
      <w:r>
        <w:t>is</w:t>
      </w:r>
      <w:r w:rsidRPr="004F54AE">
        <w:t xml:space="preserve"> study.</w:t>
      </w:r>
      <w:r w:rsidR="00983C1D">
        <w:t xml:space="preserve"> The target population was the employees of the company working in the Upstream Department</w:t>
      </w:r>
      <w:r w:rsidR="009503A9">
        <w:t xml:space="preserve"> who were picked using a simple random sampling technique</w:t>
      </w:r>
      <w:r w:rsidR="00983C1D">
        <w:t>.</w:t>
      </w:r>
    </w:p>
    <w:p w:rsidR="00243503" w:rsidRDefault="00243503" w:rsidP="007B383D">
      <w:pPr>
        <w:pStyle w:val="Caption"/>
      </w:pPr>
      <w:r w:rsidRPr="00243503">
        <w:rPr>
          <w:b/>
        </w:rPr>
        <w:t>Results:</w:t>
      </w:r>
      <w:r w:rsidR="0056752F">
        <w:rPr>
          <w:b/>
        </w:rPr>
        <w:t xml:space="preserve"> </w:t>
      </w:r>
      <w:r w:rsidR="009503A9">
        <w:t xml:space="preserve">The study found out that </w:t>
      </w:r>
      <w:r w:rsidR="009503A9" w:rsidRPr="004F54AE">
        <w:t xml:space="preserve">strategic partnerships </w:t>
      </w:r>
      <w:r w:rsidR="009503A9">
        <w:t>had an impact on</w:t>
      </w:r>
      <w:r w:rsidR="009503A9" w:rsidRPr="004F54AE">
        <w:t xml:space="preserve"> brand visibility and growth, enhancing financial capacity, technological capacity and enabling knowledge transfer.  </w:t>
      </w:r>
    </w:p>
    <w:p w:rsidR="009503A9" w:rsidRDefault="00243503" w:rsidP="007B383D">
      <w:pPr>
        <w:pStyle w:val="Caption"/>
      </w:pPr>
      <w:r w:rsidRPr="00243503">
        <w:rPr>
          <w:b/>
        </w:rPr>
        <w:t>Contribution to practice and policy recommendation:</w:t>
      </w:r>
      <w:r w:rsidR="0056752F">
        <w:rPr>
          <w:b/>
        </w:rPr>
        <w:t xml:space="preserve"> </w:t>
      </w:r>
      <w:r w:rsidR="009503A9">
        <w:t>The study concludes that emerging oil and gas frontiers should adopt strategic partnerships to build their capacity.</w:t>
      </w:r>
    </w:p>
    <w:p w:rsidR="0056752F" w:rsidRPr="0056752F" w:rsidRDefault="0056752F" w:rsidP="0056752F">
      <w:pPr>
        <w:rPr>
          <w:lang w:val="en-CA" w:eastAsia="en-CA"/>
        </w:rPr>
      </w:pPr>
    </w:p>
    <w:p w:rsidR="003A393A" w:rsidRPr="00243503" w:rsidRDefault="003A393A" w:rsidP="007B383D">
      <w:pPr>
        <w:rPr>
          <w:i/>
          <w:szCs w:val="24"/>
        </w:rPr>
      </w:pPr>
      <w:r w:rsidRPr="00243503">
        <w:rPr>
          <w:b/>
          <w:i/>
          <w:szCs w:val="24"/>
        </w:rPr>
        <w:t>Key words:</w:t>
      </w:r>
      <w:r w:rsidRPr="00243503">
        <w:rPr>
          <w:i/>
          <w:szCs w:val="24"/>
        </w:rPr>
        <w:t xml:space="preserve"> Strategic Partnerships, Capacity Building, Oil and Gas Frontier</w:t>
      </w:r>
    </w:p>
    <w:p w:rsidR="009503A9" w:rsidRDefault="009503A9" w:rsidP="00243503">
      <w:pPr>
        <w:rPr>
          <w:b/>
          <w:szCs w:val="24"/>
        </w:rPr>
      </w:pPr>
    </w:p>
    <w:p w:rsidR="001A34D6" w:rsidRDefault="001A34D6" w:rsidP="00243503">
      <w:pPr>
        <w:rPr>
          <w:b/>
          <w:szCs w:val="24"/>
        </w:rPr>
      </w:pPr>
    </w:p>
    <w:p w:rsidR="001A34D6" w:rsidRDefault="001A34D6" w:rsidP="00243503">
      <w:pPr>
        <w:rPr>
          <w:b/>
          <w:szCs w:val="24"/>
        </w:rPr>
      </w:pPr>
    </w:p>
    <w:p w:rsidR="001A34D6" w:rsidRDefault="001A34D6" w:rsidP="00243503">
      <w:pPr>
        <w:rPr>
          <w:b/>
          <w:szCs w:val="24"/>
        </w:rPr>
      </w:pPr>
    </w:p>
    <w:p w:rsidR="001A34D6" w:rsidRDefault="001A34D6" w:rsidP="00243503">
      <w:pPr>
        <w:rPr>
          <w:b/>
          <w:szCs w:val="24"/>
        </w:rPr>
      </w:pPr>
    </w:p>
    <w:p w:rsidR="001A34D6" w:rsidRDefault="001A34D6" w:rsidP="00243503">
      <w:pPr>
        <w:rPr>
          <w:b/>
          <w:szCs w:val="24"/>
        </w:rPr>
      </w:pPr>
    </w:p>
    <w:p w:rsidR="001D6094" w:rsidRPr="001A34D6" w:rsidRDefault="00F75B84" w:rsidP="001A34D6">
      <w:pPr>
        <w:pStyle w:val="Heading1"/>
        <w:rPr>
          <w:szCs w:val="24"/>
        </w:rPr>
      </w:pPr>
      <w:r w:rsidRPr="001A34D6">
        <w:rPr>
          <w:szCs w:val="24"/>
        </w:rPr>
        <w:lastRenderedPageBreak/>
        <w:t xml:space="preserve">1.0 </w:t>
      </w:r>
      <w:r w:rsidR="001D6094" w:rsidRPr="001A34D6">
        <w:rPr>
          <w:szCs w:val="24"/>
        </w:rPr>
        <w:t>Introduction and background</w:t>
      </w:r>
    </w:p>
    <w:p w:rsidR="00416B75" w:rsidRPr="00AE17C3" w:rsidRDefault="00416B75" w:rsidP="007B383D">
      <w:pPr>
        <w:rPr>
          <w:szCs w:val="24"/>
          <w:lang w:val="en-GB"/>
        </w:rPr>
      </w:pPr>
      <w:r w:rsidRPr="004F54AE">
        <w:rPr>
          <w:szCs w:val="24"/>
        </w:rPr>
        <w:t>Kenya</w:t>
      </w:r>
      <w:r>
        <w:rPr>
          <w:szCs w:val="24"/>
        </w:rPr>
        <w:t>’s oil industry</w:t>
      </w:r>
      <w:r w:rsidRPr="004F54AE">
        <w:rPr>
          <w:szCs w:val="24"/>
        </w:rPr>
        <w:t xml:space="preserve"> is an emerging industry and needs to proactively </w:t>
      </w:r>
      <w:r>
        <w:rPr>
          <w:szCs w:val="24"/>
        </w:rPr>
        <w:t>engage in building</w:t>
      </w:r>
      <w:r w:rsidRPr="004F54AE">
        <w:rPr>
          <w:szCs w:val="24"/>
        </w:rPr>
        <w:t xml:space="preserve"> capabilities required for the growing industry.</w:t>
      </w:r>
      <w:r w:rsidR="00EA0859" w:rsidRPr="00EA0859">
        <w:rPr>
          <w:szCs w:val="24"/>
          <w:lang w:val="en-GB"/>
        </w:rPr>
        <w:t xml:space="preserve">The oil and gas industry is characterized </w:t>
      </w:r>
      <w:r w:rsidR="00EA0859">
        <w:rPr>
          <w:szCs w:val="24"/>
          <w:lang w:val="en-GB"/>
        </w:rPr>
        <w:t xml:space="preserve">by </w:t>
      </w:r>
      <w:r w:rsidR="00EA0859" w:rsidRPr="00EA0859">
        <w:rPr>
          <w:szCs w:val="24"/>
          <w:lang w:val="en-GB"/>
        </w:rPr>
        <w:t>the following attributes</w:t>
      </w:r>
      <w:r w:rsidR="00EA0859">
        <w:rPr>
          <w:szCs w:val="24"/>
          <w:lang w:val="en-GB"/>
        </w:rPr>
        <w:t>:</w:t>
      </w:r>
      <w:r w:rsidR="00EA0859" w:rsidRPr="00EA0859">
        <w:rPr>
          <w:szCs w:val="24"/>
          <w:lang w:val="en-GB"/>
        </w:rPr>
        <w:t xml:space="preserve"> capital intensive nature, high profit margins and high technology requirements (Hamidu, 2012).</w:t>
      </w:r>
      <w:r>
        <w:rPr>
          <w:szCs w:val="24"/>
          <w:lang w:val="en-GB"/>
        </w:rPr>
        <w:t>A strategy that is often used by emerging economies is the one of strategic partnerships.</w:t>
      </w:r>
      <w:r w:rsidRPr="004F54AE">
        <w:rPr>
          <w:szCs w:val="24"/>
          <w:lang w:val="en-GB"/>
        </w:rPr>
        <w:t xml:space="preserve"> T</w:t>
      </w:r>
      <w:r>
        <w:rPr>
          <w:szCs w:val="24"/>
          <w:lang w:val="en-GB"/>
        </w:rPr>
        <w:t>he</w:t>
      </w:r>
      <w:r w:rsidRPr="004F54AE">
        <w:rPr>
          <w:szCs w:val="24"/>
          <w:lang w:val="en-GB"/>
        </w:rPr>
        <w:t xml:space="preserve"> need to invest in strategic partnerships as a cost effective </w:t>
      </w:r>
      <w:r>
        <w:rPr>
          <w:szCs w:val="24"/>
          <w:lang w:val="en-GB"/>
        </w:rPr>
        <w:t xml:space="preserve">strategy </w:t>
      </w:r>
      <w:r w:rsidRPr="004F54AE">
        <w:rPr>
          <w:szCs w:val="24"/>
          <w:lang w:val="en-GB"/>
        </w:rPr>
        <w:t xml:space="preserve">to grow capacity </w:t>
      </w:r>
      <w:r w:rsidRPr="004F54AE">
        <w:rPr>
          <w:szCs w:val="24"/>
        </w:rPr>
        <w:t>ha</w:t>
      </w:r>
      <w:r>
        <w:rPr>
          <w:szCs w:val="24"/>
        </w:rPr>
        <w:t>s</w:t>
      </w:r>
      <w:r w:rsidRPr="004F54AE">
        <w:rPr>
          <w:szCs w:val="24"/>
        </w:rPr>
        <w:t xml:space="preserve"> been proven to be extremely beneficial </w:t>
      </w:r>
      <w:r>
        <w:rPr>
          <w:szCs w:val="24"/>
        </w:rPr>
        <w:t>in</w:t>
      </w:r>
      <w:r w:rsidRPr="004F54AE">
        <w:rPr>
          <w:szCs w:val="24"/>
        </w:rPr>
        <w:t xml:space="preserve"> the transfer of expert knowledge and technologies (Das &amp; Sheng, 2000). </w:t>
      </w:r>
    </w:p>
    <w:p w:rsidR="00DB0B81" w:rsidRDefault="00DB0B81" w:rsidP="007B383D">
      <w:pPr>
        <w:rPr>
          <w:szCs w:val="24"/>
          <w:lang w:val="en-GB"/>
        </w:rPr>
      </w:pPr>
      <w:r w:rsidRPr="004F54AE">
        <w:rPr>
          <w:szCs w:val="24"/>
        </w:rPr>
        <w:t xml:space="preserve">Strategic partnership is a relationship between two or more entities who agree to pool operational resources whether financial, human or material (both tangible and intangible) in order to jointly execute a project or contribute their distinctive capabilities towards achievement of a common objective that translates </w:t>
      </w:r>
      <w:r w:rsidR="00416B75">
        <w:rPr>
          <w:szCs w:val="24"/>
        </w:rPr>
        <w:t>in</w:t>
      </w:r>
      <w:r w:rsidRPr="004F54AE">
        <w:rPr>
          <w:szCs w:val="24"/>
        </w:rPr>
        <w:t>to mutual benefits (Ozigbo, 2008).</w:t>
      </w:r>
      <w:r w:rsidRPr="004F54AE">
        <w:rPr>
          <w:szCs w:val="24"/>
          <w:lang w:val="en-GB"/>
        </w:rPr>
        <w:t xml:space="preserve"> A partnership must be formed with the ultimate goal of independence in mind. Gamble &amp;</w:t>
      </w:r>
      <w:r w:rsidR="0056752F">
        <w:rPr>
          <w:szCs w:val="24"/>
          <w:lang w:val="en-GB"/>
        </w:rPr>
        <w:t xml:space="preserve"> </w:t>
      </w:r>
      <w:r w:rsidRPr="004F54AE">
        <w:rPr>
          <w:szCs w:val="24"/>
          <w:lang w:val="en-GB"/>
        </w:rPr>
        <w:t xml:space="preserve">Peteraf (2015) </w:t>
      </w:r>
      <w:r w:rsidR="00416B75">
        <w:rPr>
          <w:szCs w:val="24"/>
          <w:lang w:val="en-GB"/>
        </w:rPr>
        <w:t>observe</w:t>
      </w:r>
      <w:r w:rsidRPr="004F54AE">
        <w:rPr>
          <w:szCs w:val="24"/>
          <w:lang w:val="en-GB"/>
        </w:rPr>
        <w:t xml:space="preserve"> that for strategic partnerships to be beneficial, a company must ultimately cease dependence on the alliance partner and develop its own resources and capabilities in areas where internal strategic control is pivotal.</w:t>
      </w:r>
    </w:p>
    <w:p w:rsidR="00DB0B81" w:rsidRPr="00972A22" w:rsidRDefault="00DB0B81" w:rsidP="007B383D">
      <w:pPr>
        <w:rPr>
          <w:szCs w:val="24"/>
        </w:rPr>
      </w:pPr>
      <w:r w:rsidRPr="004F54AE">
        <w:rPr>
          <w:szCs w:val="24"/>
        </w:rPr>
        <w:t>Lack of local capacity to supply the skills, goods and services required within the oil and gas sector in Kenya is a hindrance to investment by local stakeholders. The development of a successful petroleum sector is not about producing petroleum alone, but investing in capacity to manag</w:t>
      </w:r>
      <w:r w:rsidR="00446DAF">
        <w:rPr>
          <w:szCs w:val="24"/>
        </w:rPr>
        <w:t>e</w:t>
      </w:r>
      <w:r w:rsidRPr="004F54AE">
        <w:rPr>
          <w:szCs w:val="24"/>
        </w:rPr>
        <w:t xml:space="preserve"> its impacts for sustainable development for posterity (Mwangi, 2014). It </w:t>
      </w:r>
      <w:r w:rsidR="00446DAF">
        <w:rPr>
          <w:szCs w:val="24"/>
        </w:rPr>
        <w:t>becomes</w:t>
      </w:r>
      <w:r w:rsidRPr="004F54AE">
        <w:rPr>
          <w:szCs w:val="24"/>
        </w:rPr>
        <w:t xml:space="preserve"> an effort in futility to implement Local Content regulations and laws if local investors lack capacity to supply the skills, goods and service required by the industry. It </w:t>
      </w:r>
      <w:r w:rsidR="00446DAF">
        <w:rPr>
          <w:szCs w:val="24"/>
        </w:rPr>
        <w:t>therefore,</w:t>
      </w:r>
      <w:r w:rsidRPr="004F54AE">
        <w:rPr>
          <w:szCs w:val="24"/>
        </w:rPr>
        <w:t xml:space="preserve"> becomes necessary to import these skills, goods and services resulting in loss of much needed foreign exchange. </w:t>
      </w:r>
      <w:r w:rsidRPr="004F54AE">
        <w:rPr>
          <w:szCs w:val="24"/>
        </w:rPr>
        <w:tab/>
      </w:r>
    </w:p>
    <w:p w:rsidR="00DB0B81" w:rsidRDefault="00DB0B81" w:rsidP="007B383D">
      <w:pPr>
        <w:rPr>
          <w:szCs w:val="24"/>
          <w:lang w:val="en-GB"/>
        </w:rPr>
      </w:pPr>
      <w:r w:rsidRPr="004F54AE">
        <w:rPr>
          <w:szCs w:val="24"/>
          <w:lang w:val="en-GB"/>
        </w:rPr>
        <w:t>Akpata, Bredenhann</w:t>
      </w:r>
      <w:r w:rsidR="0056752F">
        <w:rPr>
          <w:szCs w:val="24"/>
          <w:lang w:val="en-GB"/>
        </w:rPr>
        <w:t xml:space="preserve"> </w:t>
      </w:r>
      <w:r>
        <w:rPr>
          <w:szCs w:val="24"/>
          <w:lang w:val="en-GB"/>
        </w:rPr>
        <w:t>and</w:t>
      </w:r>
      <w:r w:rsidRPr="004F54AE">
        <w:rPr>
          <w:szCs w:val="24"/>
          <w:lang w:val="en-GB"/>
        </w:rPr>
        <w:t xml:space="preserve"> White (2013) name </w:t>
      </w:r>
      <w:r w:rsidRPr="004F54AE">
        <w:rPr>
          <w:rFonts w:eastAsia="Times New Roman"/>
          <w:szCs w:val="24"/>
        </w:rPr>
        <w:t>poor infrastructure and an uncertain regulatory framework a</w:t>
      </w:r>
      <w:r w:rsidR="00446DAF">
        <w:rPr>
          <w:rFonts w:eastAsia="Times New Roman"/>
          <w:szCs w:val="24"/>
        </w:rPr>
        <w:t>s</w:t>
      </w:r>
      <w:r w:rsidRPr="004F54AE">
        <w:rPr>
          <w:rFonts w:eastAsia="Times New Roman"/>
          <w:szCs w:val="24"/>
        </w:rPr>
        <w:t xml:space="preserve"> top two challenges identified by new emerging players/markets, especially in Uganda, Ghana, Tanzania, Nigeria and Kenya.</w:t>
      </w:r>
      <w:r w:rsidRPr="004F54AE">
        <w:rPr>
          <w:szCs w:val="24"/>
          <w:lang w:val="en-GB"/>
        </w:rPr>
        <w:t xml:space="preserve">Owing to lack of skilled expertise, technical capabilities and the huge financial requirements to invest in the oil and gas industry, National Oil Companies (NOCs) around the world are unable to work alone to develop their national oil and gas reserves. For instance, </w:t>
      </w:r>
      <w:r w:rsidRPr="004F54AE">
        <w:rPr>
          <w:szCs w:val="24"/>
        </w:rPr>
        <w:t>Uganda made an oil discovery in 2006, but has been unable to go into production owing to capacity challenges and internal disputes over issues such as taxation</w:t>
      </w:r>
      <w:r w:rsidR="00446DAF">
        <w:rPr>
          <w:szCs w:val="24"/>
        </w:rPr>
        <w:t xml:space="preserve"> and</w:t>
      </w:r>
      <w:r w:rsidRPr="004F54AE">
        <w:rPr>
          <w:szCs w:val="24"/>
        </w:rPr>
        <w:t xml:space="preserve"> whether to build an oil refinery or rely on shared infrastructure among other planning challenges (Tully, 2015). </w:t>
      </w:r>
    </w:p>
    <w:p w:rsidR="00DB0B81" w:rsidRPr="004F54AE" w:rsidRDefault="00446DAF" w:rsidP="007B383D">
      <w:pPr>
        <w:rPr>
          <w:szCs w:val="24"/>
          <w:lang w:val="en-GB"/>
        </w:rPr>
      </w:pPr>
      <w:r>
        <w:rPr>
          <w:szCs w:val="24"/>
          <w:lang w:val="en-GB"/>
        </w:rPr>
        <w:t>I</w:t>
      </w:r>
      <w:r w:rsidR="00DB0B81" w:rsidRPr="004F54AE">
        <w:rPr>
          <w:szCs w:val="24"/>
          <w:lang w:val="en-GB"/>
        </w:rPr>
        <w:t>nvest</w:t>
      </w:r>
      <w:r>
        <w:rPr>
          <w:szCs w:val="24"/>
          <w:lang w:val="en-GB"/>
        </w:rPr>
        <w:t>ing</w:t>
      </w:r>
      <w:r w:rsidR="00DB0B81" w:rsidRPr="004F54AE">
        <w:rPr>
          <w:szCs w:val="24"/>
          <w:lang w:val="en-GB"/>
        </w:rPr>
        <w:t xml:space="preserve"> in strategic partnerships </w:t>
      </w:r>
      <w:r>
        <w:rPr>
          <w:szCs w:val="24"/>
          <w:lang w:val="en-GB"/>
        </w:rPr>
        <w:t>i</w:t>
      </w:r>
      <w:r w:rsidR="00DB0B81" w:rsidRPr="004F54AE">
        <w:rPr>
          <w:szCs w:val="24"/>
          <w:lang w:val="en-GB"/>
        </w:rPr>
        <w:t>s a cost effective avenue to grow the capacity required locally in order to benefit from the opportunities available right from inception of the indust</w:t>
      </w:r>
      <w:r>
        <w:rPr>
          <w:szCs w:val="24"/>
          <w:lang w:val="en-GB"/>
        </w:rPr>
        <w:t xml:space="preserve">ry </w:t>
      </w:r>
      <w:r w:rsidR="00DB0B81" w:rsidRPr="004F54AE">
        <w:rPr>
          <w:szCs w:val="24"/>
        </w:rPr>
        <w:t xml:space="preserve">(Das &amp; Sheng, 2000). Kenya is an emerging industry and </w:t>
      </w:r>
      <w:r w:rsidR="007B73E1">
        <w:rPr>
          <w:szCs w:val="24"/>
        </w:rPr>
        <w:t>can</w:t>
      </w:r>
      <w:r w:rsidR="00DB0B81" w:rsidRPr="004F54AE">
        <w:rPr>
          <w:szCs w:val="24"/>
        </w:rPr>
        <w:t xml:space="preserve"> proactively equip </w:t>
      </w:r>
      <w:r>
        <w:rPr>
          <w:szCs w:val="24"/>
        </w:rPr>
        <w:t>her</w:t>
      </w:r>
      <w:r w:rsidR="00DB0B81" w:rsidRPr="004F54AE">
        <w:rPr>
          <w:szCs w:val="24"/>
        </w:rPr>
        <w:t>self with the capabilities required for the growing industry</w:t>
      </w:r>
      <w:r w:rsidR="007B73E1">
        <w:rPr>
          <w:szCs w:val="24"/>
        </w:rPr>
        <w:t xml:space="preserve"> using strategic partnerships without compromising her competitiveness or the quality of its population as is the case in Nigeria’s population, in the gas and oil regions</w:t>
      </w:r>
      <w:r w:rsidR="0056752F">
        <w:rPr>
          <w:szCs w:val="24"/>
        </w:rPr>
        <w:t xml:space="preserve"> </w:t>
      </w:r>
      <w:r w:rsidR="007B73E1">
        <w:rPr>
          <w:szCs w:val="24"/>
        </w:rPr>
        <w:t>(Balo</w:t>
      </w:r>
      <w:r w:rsidR="003A0520">
        <w:rPr>
          <w:szCs w:val="24"/>
        </w:rPr>
        <w:t>u</w:t>
      </w:r>
      <w:r w:rsidR="007B73E1">
        <w:rPr>
          <w:szCs w:val="24"/>
        </w:rPr>
        <w:t>g</w:t>
      </w:r>
      <w:r w:rsidR="003A0520">
        <w:rPr>
          <w:szCs w:val="24"/>
        </w:rPr>
        <w:t>a, 201</w:t>
      </w:r>
      <w:r w:rsidR="007B73E1">
        <w:rPr>
          <w:szCs w:val="24"/>
        </w:rPr>
        <w:t>2).</w:t>
      </w:r>
    </w:p>
    <w:p w:rsidR="00DB0B81" w:rsidRPr="004F54AE" w:rsidRDefault="00446DAF" w:rsidP="007B383D">
      <w:pPr>
        <w:rPr>
          <w:szCs w:val="24"/>
          <w:lang w:val="en-GB"/>
        </w:rPr>
      </w:pPr>
      <w:r>
        <w:rPr>
          <w:szCs w:val="24"/>
        </w:rPr>
        <w:t>It has been argued that</w:t>
      </w:r>
      <w:r w:rsidR="0056752F">
        <w:rPr>
          <w:szCs w:val="24"/>
        </w:rPr>
        <w:t xml:space="preserve"> </w:t>
      </w:r>
      <w:r w:rsidR="00DB0B81">
        <w:rPr>
          <w:szCs w:val="24"/>
        </w:rPr>
        <w:t>focus</w:t>
      </w:r>
      <w:r>
        <w:rPr>
          <w:szCs w:val="24"/>
        </w:rPr>
        <w:t>ing</w:t>
      </w:r>
      <w:r w:rsidR="00DB0B81" w:rsidRPr="004F54AE">
        <w:rPr>
          <w:szCs w:val="24"/>
        </w:rPr>
        <w:t xml:space="preserve"> on strategic partnerships cure</w:t>
      </w:r>
      <w:r>
        <w:rPr>
          <w:szCs w:val="24"/>
        </w:rPr>
        <w:t>s</w:t>
      </w:r>
      <w:r w:rsidR="00DB0B81" w:rsidRPr="004F54AE">
        <w:rPr>
          <w:szCs w:val="24"/>
        </w:rPr>
        <w:t xml:space="preserve"> an entity’s own weaknesses and threats to traverse a market alone by utilizing another’s strengths. Evaluating the strengths, weaknesses, opportunities and threats of </w:t>
      </w:r>
      <w:r>
        <w:rPr>
          <w:szCs w:val="24"/>
        </w:rPr>
        <w:t>a</w:t>
      </w:r>
      <w:r w:rsidR="00DB0B81" w:rsidRPr="004F54AE">
        <w:rPr>
          <w:szCs w:val="24"/>
        </w:rPr>
        <w:t xml:space="preserve"> company is paramount to draw accurate conclusions on the company’s current situation and </w:t>
      </w:r>
      <w:r>
        <w:rPr>
          <w:szCs w:val="24"/>
        </w:rPr>
        <w:t xml:space="preserve">helps </w:t>
      </w:r>
      <w:r w:rsidR="00DB0B81" w:rsidRPr="004F54AE">
        <w:rPr>
          <w:szCs w:val="24"/>
        </w:rPr>
        <w:t xml:space="preserve">translate these </w:t>
      </w:r>
      <w:r>
        <w:rPr>
          <w:szCs w:val="24"/>
        </w:rPr>
        <w:t>in</w:t>
      </w:r>
      <w:r w:rsidR="00DB0B81" w:rsidRPr="004F54AE">
        <w:rPr>
          <w:szCs w:val="24"/>
        </w:rPr>
        <w:t>to strategic actions</w:t>
      </w:r>
      <w:r w:rsidR="00DB0B81" w:rsidRPr="004F54AE">
        <w:rPr>
          <w:szCs w:val="24"/>
          <w:lang w:val="en-GB"/>
        </w:rPr>
        <w:t xml:space="preserve"> (Gamble &amp;</w:t>
      </w:r>
      <w:r w:rsidR="0056752F">
        <w:rPr>
          <w:szCs w:val="24"/>
          <w:lang w:val="en-GB"/>
        </w:rPr>
        <w:t xml:space="preserve"> </w:t>
      </w:r>
      <w:r w:rsidR="00DB0B81" w:rsidRPr="004F54AE">
        <w:rPr>
          <w:szCs w:val="24"/>
          <w:lang w:val="en-GB"/>
        </w:rPr>
        <w:t xml:space="preserve">Peteraf, 2015). For foreign investors such as </w:t>
      </w:r>
      <w:r>
        <w:rPr>
          <w:szCs w:val="24"/>
          <w:lang w:val="en-GB"/>
        </w:rPr>
        <w:t xml:space="preserve">established </w:t>
      </w:r>
      <w:r w:rsidR="00DB0B81" w:rsidRPr="004F54AE">
        <w:rPr>
          <w:szCs w:val="24"/>
          <w:lang w:val="en-GB"/>
        </w:rPr>
        <w:t>I</w:t>
      </w:r>
      <w:r>
        <w:rPr>
          <w:szCs w:val="24"/>
          <w:lang w:val="en-GB"/>
        </w:rPr>
        <w:t xml:space="preserve">nternational </w:t>
      </w:r>
      <w:r w:rsidR="00DB0B81" w:rsidRPr="004F54AE">
        <w:rPr>
          <w:szCs w:val="24"/>
          <w:lang w:val="en-GB"/>
        </w:rPr>
        <w:t>O</w:t>
      </w:r>
      <w:r>
        <w:rPr>
          <w:szCs w:val="24"/>
          <w:lang w:val="en-GB"/>
        </w:rPr>
        <w:t xml:space="preserve">il </w:t>
      </w:r>
      <w:r w:rsidR="00DB0B81" w:rsidRPr="004F54AE">
        <w:rPr>
          <w:szCs w:val="24"/>
          <w:lang w:val="en-GB"/>
        </w:rPr>
        <w:lastRenderedPageBreak/>
        <w:t>C</w:t>
      </w:r>
      <w:r>
        <w:rPr>
          <w:szCs w:val="24"/>
          <w:lang w:val="en-GB"/>
        </w:rPr>
        <w:t>ompanie</w:t>
      </w:r>
      <w:r w:rsidR="00DB0B81" w:rsidRPr="004F54AE">
        <w:rPr>
          <w:szCs w:val="24"/>
          <w:lang w:val="en-GB"/>
        </w:rPr>
        <w:t>s</w:t>
      </w:r>
      <w:r w:rsidR="0056752F">
        <w:rPr>
          <w:szCs w:val="24"/>
          <w:lang w:val="en-GB"/>
        </w:rPr>
        <w:t xml:space="preserve"> </w:t>
      </w:r>
      <w:r>
        <w:rPr>
          <w:szCs w:val="24"/>
          <w:lang w:val="en-GB"/>
        </w:rPr>
        <w:t>(IOC)</w:t>
      </w:r>
      <w:r w:rsidR="00DB0B81" w:rsidRPr="004F54AE">
        <w:rPr>
          <w:szCs w:val="24"/>
          <w:lang w:val="en-GB"/>
        </w:rPr>
        <w:t xml:space="preserve">, cooperation with NOCs reduces political risk and buys the IOC goodwill with the host government when their interests become aligned (James, 2011). </w:t>
      </w:r>
    </w:p>
    <w:p w:rsidR="00DB0B81" w:rsidRPr="004F54AE" w:rsidRDefault="00446DAF" w:rsidP="007B383D">
      <w:pPr>
        <w:rPr>
          <w:szCs w:val="24"/>
        </w:rPr>
      </w:pPr>
      <w:r>
        <w:rPr>
          <w:szCs w:val="24"/>
        </w:rPr>
        <w:t>S</w:t>
      </w:r>
      <w:r w:rsidR="00DB0B81" w:rsidRPr="004F54AE">
        <w:rPr>
          <w:szCs w:val="24"/>
        </w:rPr>
        <w:t>trategic partnerships equip local indigenous companies to break entry barriers. Some of the benefits include; sharing capital investment required, sharing technology, mitigating effects of inexperience, accessing reliable local suppliers, risk reduction, new market entry, new distribution channels, brand recognition among many others (Strickland, 1990).</w:t>
      </w:r>
    </w:p>
    <w:p w:rsidR="00DB0B81" w:rsidRPr="004F54AE" w:rsidRDefault="00DB0B81" w:rsidP="007B383D">
      <w:pPr>
        <w:rPr>
          <w:szCs w:val="24"/>
          <w:lang w:val="en-GB"/>
        </w:rPr>
      </w:pPr>
      <w:r w:rsidRPr="004F54AE">
        <w:rPr>
          <w:szCs w:val="24"/>
        </w:rPr>
        <w:t xml:space="preserve">The form of partnership </w:t>
      </w:r>
      <w:r w:rsidR="00446DAF">
        <w:rPr>
          <w:szCs w:val="24"/>
        </w:rPr>
        <w:t xml:space="preserve">entered into </w:t>
      </w:r>
      <w:r w:rsidRPr="004F54AE">
        <w:rPr>
          <w:szCs w:val="24"/>
        </w:rPr>
        <w:t>may be formal or informal and may entail a party ceding ownership rights or parties may agree to maintain individual autonomy.</w:t>
      </w:r>
      <w:r w:rsidRPr="004F54AE">
        <w:rPr>
          <w:szCs w:val="24"/>
          <w:lang w:val="en-GB"/>
        </w:rPr>
        <w:t xml:space="preserve">Gamble </w:t>
      </w:r>
      <w:r>
        <w:rPr>
          <w:szCs w:val="24"/>
          <w:lang w:val="en-GB"/>
        </w:rPr>
        <w:t xml:space="preserve">and </w:t>
      </w:r>
      <w:r w:rsidRPr="004F54AE">
        <w:rPr>
          <w:szCs w:val="24"/>
          <w:lang w:val="en-GB"/>
        </w:rPr>
        <w:t>Peteraf (2015) describe a strategic partnership as a strategic collaboration for joint contribution of resources, shared risk and mutual dependence. Strategic partnerships may be horizontal or vertical where horizontal partnerships are aimed at external expansion while vertical scope involves expansion of internal value chain activities.</w:t>
      </w:r>
    </w:p>
    <w:p w:rsidR="00DB0B81" w:rsidRDefault="00DB0B81" w:rsidP="007B383D">
      <w:pPr>
        <w:rPr>
          <w:szCs w:val="24"/>
        </w:rPr>
      </w:pPr>
      <w:r w:rsidRPr="004F54AE">
        <w:rPr>
          <w:szCs w:val="24"/>
          <w:lang w:val="en-GB"/>
        </w:rPr>
        <w:t xml:space="preserve">It is imperative that </w:t>
      </w:r>
      <w:r w:rsidRPr="004F54AE">
        <w:rPr>
          <w:szCs w:val="24"/>
        </w:rPr>
        <w:t xml:space="preserve">strategic partnerships are aligned to the long term vision of the organization. Examining the suitability of the desired form of partnership and compatibility with the partner of choice is of key importance. </w:t>
      </w:r>
      <w:r w:rsidRPr="004F54AE">
        <w:rPr>
          <w:szCs w:val="24"/>
          <w:lang w:val="en-GB"/>
        </w:rPr>
        <w:t xml:space="preserve">Gamble </w:t>
      </w:r>
      <w:r>
        <w:rPr>
          <w:szCs w:val="24"/>
          <w:lang w:val="en-GB"/>
        </w:rPr>
        <w:t>and</w:t>
      </w:r>
      <w:r w:rsidR="0056752F">
        <w:rPr>
          <w:szCs w:val="24"/>
          <w:lang w:val="en-GB"/>
        </w:rPr>
        <w:t xml:space="preserve"> </w:t>
      </w:r>
      <w:r w:rsidRPr="004F54AE">
        <w:rPr>
          <w:szCs w:val="24"/>
          <w:lang w:val="en-GB"/>
        </w:rPr>
        <w:t>Peteraf (2015) note strategic partnerships last longer when the strategic partners are not direct competitors, in order to develop mutual trust and continue to access incremental benefits in the long term from the partnership</w:t>
      </w:r>
      <w:r w:rsidRPr="004F54AE">
        <w:rPr>
          <w:szCs w:val="24"/>
        </w:rPr>
        <w:t xml:space="preserve">. </w:t>
      </w:r>
    </w:p>
    <w:p w:rsidR="00DB0B81" w:rsidRDefault="00DB0B81" w:rsidP="007B383D">
      <w:pPr>
        <w:rPr>
          <w:szCs w:val="24"/>
        </w:rPr>
      </w:pPr>
      <w:r w:rsidRPr="004F54AE">
        <w:rPr>
          <w:szCs w:val="24"/>
        </w:rPr>
        <w:t>Strategic partnerships are aimed at diversifying opportunities, capabilities and building dynamism through utilization of each party’s distinct capabilities or resources. Strategic alliances are proven to be an efficient and cost effective resource sharing mechanism targeted towards building core competencies and competitive advantage within an existing market (Ungson</w:t>
      </w:r>
      <w:r w:rsidR="0056752F">
        <w:rPr>
          <w:szCs w:val="24"/>
        </w:rPr>
        <w:t xml:space="preserve"> </w:t>
      </w:r>
      <w:r w:rsidRPr="004F54AE">
        <w:rPr>
          <w:szCs w:val="24"/>
        </w:rPr>
        <w:t xml:space="preserve">&amp; Wong, 2008). </w:t>
      </w:r>
    </w:p>
    <w:p w:rsidR="00DB0B81" w:rsidRDefault="00DB0B81" w:rsidP="007B383D">
      <w:pPr>
        <w:rPr>
          <w:szCs w:val="24"/>
        </w:rPr>
      </w:pPr>
      <w:r w:rsidRPr="004F54AE">
        <w:rPr>
          <w:szCs w:val="24"/>
        </w:rPr>
        <w:t>Local stakeholders are continually looking for ways to participate in the value chain. Coordinating both local and foreign players through strategic partnerships enhance</w:t>
      </w:r>
      <w:r w:rsidR="004333D5">
        <w:rPr>
          <w:szCs w:val="24"/>
        </w:rPr>
        <w:t>s</w:t>
      </w:r>
      <w:r w:rsidRPr="004F54AE">
        <w:rPr>
          <w:szCs w:val="24"/>
        </w:rPr>
        <w:t xml:space="preserve"> implementation of policy to generate value </w:t>
      </w:r>
      <w:r w:rsidR="004333D5">
        <w:rPr>
          <w:szCs w:val="24"/>
        </w:rPr>
        <w:t xml:space="preserve">that </w:t>
      </w:r>
      <w:r w:rsidRPr="004F54AE">
        <w:rPr>
          <w:szCs w:val="24"/>
        </w:rPr>
        <w:t xml:space="preserve">contributes to the long term economic growth </w:t>
      </w:r>
      <w:r w:rsidR="004333D5">
        <w:rPr>
          <w:szCs w:val="24"/>
        </w:rPr>
        <w:t>of an emerging</w:t>
      </w:r>
      <w:r w:rsidRPr="004F54AE">
        <w:rPr>
          <w:szCs w:val="24"/>
        </w:rPr>
        <w:t xml:space="preserve"> economy</w:t>
      </w:r>
      <w:r w:rsidR="001D7FBB">
        <w:rPr>
          <w:szCs w:val="24"/>
        </w:rPr>
        <w:t xml:space="preserve"> </w:t>
      </w:r>
      <w:r w:rsidRPr="004F54AE">
        <w:rPr>
          <w:szCs w:val="24"/>
        </w:rPr>
        <w:t>(</w:t>
      </w:r>
      <w:r w:rsidRPr="004F54AE">
        <w:rPr>
          <w:szCs w:val="24"/>
          <w:lang w:val="en-GB"/>
        </w:rPr>
        <w:t>Hackenbruch</w:t>
      </w:r>
      <w:r w:rsidR="0056752F">
        <w:rPr>
          <w:szCs w:val="24"/>
          <w:lang w:val="en-GB"/>
        </w:rPr>
        <w:t xml:space="preserve"> </w:t>
      </w:r>
      <w:r w:rsidRPr="004F54AE">
        <w:rPr>
          <w:szCs w:val="24"/>
          <w:lang w:val="en-GB"/>
        </w:rPr>
        <w:t>&amp;</w:t>
      </w:r>
      <w:r w:rsidR="0056752F">
        <w:rPr>
          <w:szCs w:val="24"/>
          <w:lang w:val="en-GB"/>
        </w:rPr>
        <w:t xml:space="preserve"> </w:t>
      </w:r>
      <w:r w:rsidRPr="004F54AE">
        <w:rPr>
          <w:szCs w:val="24"/>
          <w:lang w:val="en-GB"/>
        </w:rPr>
        <w:t>Pluess, 2011).</w:t>
      </w:r>
    </w:p>
    <w:p w:rsidR="00DB0B81" w:rsidRPr="004F54AE" w:rsidRDefault="00DB0B81" w:rsidP="007B383D">
      <w:pPr>
        <w:rPr>
          <w:szCs w:val="24"/>
        </w:rPr>
      </w:pPr>
      <w:r w:rsidRPr="004F54AE">
        <w:rPr>
          <w:szCs w:val="24"/>
        </w:rPr>
        <w:t xml:space="preserve">Hamidu (2012) </w:t>
      </w:r>
      <w:r w:rsidR="004333D5">
        <w:rPr>
          <w:szCs w:val="24"/>
        </w:rPr>
        <w:t xml:space="preserve">observes that there is </w:t>
      </w:r>
      <w:r w:rsidRPr="004F54AE">
        <w:rPr>
          <w:szCs w:val="24"/>
        </w:rPr>
        <w:t>need to promote business that benefits local stakeholders</w:t>
      </w:r>
      <w:r w:rsidR="004333D5">
        <w:rPr>
          <w:szCs w:val="24"/>
        </w:rPr>
        <w:t xml:space="preserve"> of the country that is seeking for strategic partnership. The researcher </w:t>
      </w:r>
      <w:r w:rsidRPr="004F54AE">
        <w:rPr>
          <w:szCs w:val="24"/>
        </w:rPr>
        <w:t>giv</w:t>
      </w:r>
      <w:r w:rsidR="004333D5">
        <w:rPr>
          <w:szCs w:val="24"/>
        </w:rPr>
        <w:t>es</w:t>
      </w:r>
      <w:r w:rsidRPr="004F54AE">
        <w:rPr>
          <w:szCs w:val="24"/>
        </w:rPr>
        <w:t xml:space="preserve"> an example of the partnership between Ghana National Petroleum Company (GNPC) and Tullow Oil (Ghana) where Tullow Oil has invested in corporate social responsibility initiatives such as the Tullow Group Scholarship Scheme </w:t>
      </w:r>
      <w:r w:rsidR="004333D5">
        <w:rPr>
          <w:szCs w:val="24"/>
        </w:rPr>
        <w:t xml:space="preserve">which </w:t>
      </w:r>
      <w:r w:rsidRPr="004F54AE">
        <w:rPr>
          <w:szCs w:val="24"/>
        </w:rPr>
        <w:t>offer</w:t>
      </w:r>
      <w:r w:rsidR="004333D5">
        <w:rPr>
          <w:szCs w:val="24"/>
        </w:rPr>
        <w:t>s</w:t>
      </w:r>
      <w:r w:rsidRPr="004F54AE">
        <w:rPr>
          <w:szCs w:val="24"/>
        </w:rPr>
        <w:t xml:space="preserve"> academic scholarships in areas </w:t>
      </w:r>
      <w:r w:rsidR="004333D5">
        <w:rPr>
          <w:szCs w:val="24"/>
        </w:rPr>
        <w:t xml:space="preserve">that </w:t>
      </w:r>
      <w:r w:rsidR="00EA0859">
        <w:rPr>
          <w:szCs w:val="24"/>
        </w:rPr>
        <w:t xml:space="preserve">are </w:t>
      </w:r>
      <w:r w:rsidRPr="004F54AE">
        <w:rPr>
          <w:szCs w:val="24"/>
        </w:rPr>
        <w:t>relevant to the industry.</w:t>
      </w:r>
    </w:p>
    <w:p w:rsidR="00CC44F6" w:rsidRPr="005936B6" w:rsidRDefault="00F75B84" w:rsidP="001A34D6">
      <w:pPr>
        <w:pStyle w:val="Heading2"/>
      </w:pPr>
      <w:bookmarkStart w:id="1" w:name="_Toc415645352"/>
      <w:r>
        <w:t xml:space="preserve">1.1 </w:t>
      </w:r>
      <w:r w:rsidR="00CC44F6" w:rsidRPr="005936B6">
        <w:t>Statement of the Problem</w:t>
      </w:r>
      <w:bookmarkEnd w:id="1"/>
    </w:p>
    <w:p w:rsidR="00CC44F6" w:rsidRPr="004F54AE" w:rsidRDefault="00CC44F6" w:rsidP="007B383D">
      <w:pPr>
        <w:rPr>
          <w:rFonts w:eastAsia="Times New Roman"/>
        </w:rPr>
      </w:pPr>
      <w:r w:rsidRPr="004F54AE">
        <w:t xml:space="preserve">The discovery of oil and gas prospects in Kenya in 2012 and subsequent establishment of local content regulations which will make it mandatory to prioritize utilization of local skills, goods and services within the oil and gas sector </w:t>
      </w:r>
      <w:r w:rsidR="004333D5">
        <w:t>has</w:t>
      </w:r>
      <w:r w:rsidRPr="004F54AE">
        <w:t xml:space="preserve"> create</w:t>
      </w:r>
      <w:r w:rsidR="004333D5">
        <w:t>d a</w:t>
      </w:r>
      <w:r w:rsidRPr="004F54AE">
        <w:t xml:space="preserve"> high demand for specialized goods, skills and services locally. </w:t>
      </w:r>
      <w:r>
        <w:t>I</w:t>
      </w:r>
      <w:r w:rsidRPr="004F54AE">
        <w:t>nability</w:t>
      </w:r>
      <w:r w:rsidRPr="004F54AE">
        <w:rPr>
          <w:lang w:val="en-GB"/>
        </w:rPr>
        <w:t xml:space="preserve"> to adapt to changes in an industry owing to capacity challenges is an issue (Ijose, 2010).</w:t>
      </w:r>
      <w:r w:rsidR="0056752F">
        <w:rPr>
          <w:lang w:val="en-GB"/>
        </w:rPr>
        <w:t xml:space="preserve"> </w:t>
      </w:r>
      <w:r w:rsidRPr="004F54AE">
        <w:t>Kakonge (2013) agrees that African countries have serious capacity challenges when it comes to upstream operations, namely exploration, drilling and the development of wells, and production.</w:t>
      </w:r>
    </w:p>
    <w:p w:rsidR="00CC44F6" w:rsidRPr="004F54AE" w:rsidRDefault="00CC44F6" w:rsidP="007B383D">
      <w:r>
        <w:t>Incapacity</w:t>
      </w:r>
      <w:r w:rsidRPr="004F54AE">
        <w:t xml:space="preserve"> of the local </w:t>
      </w:r>
      <w:r>
        <w:t>stakeholders</w:t>
      </w:r>
      <w:r w:rsidRPr="004F54AE">
        <w:t xml:space="preserve"> to exploit opportunities owing to the lack of skills, capital and technological capacity is a handicap in Kenya as an emerging frontier in oil and gas (Akpata, Bredenhann</w:t>
      </w:r>
      <w:r w:rsidR="0056752F">
        <w:t xml:space="preserve"> </w:t>
      </w:r>
      <w:r w:rsidRPr="004F54AE">
        <w:t xml:space="preserve">&amp; White, 2013). Owing to the high costs of building capacity, Kenya sought funding </w:t>
      </w:r>
      <w:r w:rsidR="001D6094">
        <w:t>from the</w:t>
      </w:r>
      <w:r w:rsidRPr="004F54AE">
        <w:t xml:space="preserve"> World Bank </w:t>
      </w:r>
      <w:r>
        <w:t>through</w:t>
      </w:r>
      <w:r w:rsidRPr="004F54AE">
        <w:t xml:space="preserve"> the Kenya Petroleum Technical Assistance </w:t>
      </w:r>
      <w:r w:rsidRPr="004F54AE">
        <w:lastRenderedPageBreak/>
        <w:t xml:space="preserve">Project to fund capacity building and technical assistance initiatives, training programs, and the development of a legal and institutional framework (Mwangi, 2014). </w:t>
      </w:r>
      <w:r w:rsidR="000D0762">
        <w:t xml:space="preserve">Such a move </w:t>
      </w:r>
      <w:r w:rsidRPr="004F54AE">
        <w:t>increases Kenya’s debt portfolio and encumbers its future oil and gas revenues hence the need to utilize cost effective measures such as use of strategic partnerships.</w:t>
      </w:r>
    </w:p>
    <w:p w:rsidR="00CC44F6" w:rsidRDefault="00CC44F6" w:rsidP="007B383D">
      <w:pPr>
        <w:rPr>
          <w:lang w:val="en-GB"/>
        </w:rPr>
      </w:pPr>
      <w:r w:rsidRPr="004F54AE">
        <w:t xml:space="preserve">Strategic partnerships address this by bringing in the much needed resources including assets, finance, or knowledge, alternative perspectives on the issues and contacts from local community participants or the private stakeholders (Mcquaid, 2000). </w:t>
      </w:r>
      <w:r w:rsidR="001D6094">
        <w:t>Previous studies have focused on the inability of emerging economies to exploit opportunities in the oil and gas sector and strategies</w:t>
      </w:r>
      <w:r w:rsidR="008418E9">
        <w:t xml:space="preserve"> that may be implemented to raise much needed capital for this capital-intensive industry. The role of strategic partnerships has not been given much weight especially as it relates to building capacity in emerging oil and gas frontiers in Africa. This</w:t>
      </w:r>
      <w:r w:rsidR="000D0762">
        <w:t xml:space="preserve"> study therefore, sought to investigate the effectiveness of strategic partnerships and whether they are </w:t>
      </w:r>
      <w:r w:rsidRPr="004F54AE">
        <w:t xml:space="preserve">cost effective measures </w:t>
      </w:r>
      <w:r w:rsidR="000D52B6">
        <w:t xml:space="preserve">that </w:t>
      </w:r>
      <w:r>
        <w:t>proactively</w:t>
      </w:r>
      <w:r w:rsidRPr="004F54AE">
        <w:t xml:space="preserve"> build </w:t>
      </w:r>
      <w:r w:rsidR="000D0762">
        <w:t>c</w:t>
      </w:r>
      <w:r w:rsidRPr="004F54AE">
        <w:t xml:space="preserve">apacity in emerging oil and gas frontiers </w:t>
      </w:r>
      <w:r w:rsidR="000D0762">
        <w:t xml:space="preserve">in an </w:t>
      </w:r>
      <w:r w:rsidRPr="004F54AE">
        <w:t xml:space="preserve">industry </w:t>
      </w:r>
      <w:r w:rsidR="000D0762">
        <w:t xml:space="preserve">that </w:t>
      </w:r>
      <w:r w:rsidRPr="004F54AE">
        <w:t>is undeveloped</w:t>
      </w:r>
      <w:r w:rsidR="000D52B6">
        <w:t xml:space="preserve"> like the one in Kenya</w:t>
      </w:r>
      <w:r w:rsidRPr="004F54AE">
        <w:t>.</w:t>
      </w:r>
    </w:p>
    <w:p w:rsidR="00983C1D" w:rsidRDefault="00F75B84" w:rsidP="001A34D6">
      <w:pPr>
        <w:pStyle w:val="Heading2"/>
        <w:rPr>
          <w:lang w:val="en-GB"/>
        </w:rPr>
      </w:pPr>
      <w:r>
        <w:rPr>
          <w:lang w:val="en-GB"/>
        </w:rPr>
        <w:t xml:space="preserve">1.2 </w:t>
      </w:r>
      <w:r w:rsidR="00983C1D">
        <w:rPr>
          <w:lang w:val="en-GB"/>
        </w:rPr>
        <w:t>Objectives of the Study</w:t>
      </w:r>
    </w:p>
    <w:p w:rsidR="00983C1D" w:rsidRDefault="00983C1D" w:rsidP="001A34D6">
      <w:pPr>
        <w:numPr>
          <w:ilvl w:val="0"/>
          <w:numId w:val="3"/>
        </w:numPr>
        <w:ind w:left="720"/>
        <w:rPr>
          <w:szCs w:val="24"/>
        </w:rPr>
      </w:pPr>
      <w:r>
        <w:rPr>
          <w:szCs w:val="24"/>
        </w:rPr>
        <w:t>To establish whether strategic partnerships were being used by National Oil Corporation of Kenya to develop its oil and gas extractive capacity;</w:t>
      </w:r>
    </w:p>
    <w:p w:rsidR="00983C1D" w:rsidRDefault="00983C1D" w:rsidP="001A34D6">
      <w:pPr>
        <w:numPr>
          <w:ilvl w:val="0"/>
          <w:numId w:val="3"/>
        </w:numPr>
        <w:ind w:left="720"/>
        <w:rPr>
          <w:szCs w:val="24"/>
        </w:rPr>
      </w:pPr>
      <w:r>
        <w:rPr>
          <w:szCs w:val="24"/>
        </w:rPr>
        <w:t xml:space="preserve">To examine the impact of strategic partnerships in building organizational capabilities; </w:t>
      </w:r>
    </w:p>
    <w:p w:rsidR="00983C1D" w:rsidRPr="001A34D6" w:rsidRDefault="00983C1D" w:rsidP="00983C1D">
      <w:pPr>
        <w:numPr>
          <w:ilvl w:val="0"/>
          <w:numId w:val="3"/>
        </w:numPr>
        <w:ind w:left="720"/>
        <w:rPr>
          <w:szCs w:val="24"/>
        </w:rPr>
      </w:pPr>
      <w:r>
        <w:rPr>
          <w:szCs w:val="24"/>
        </w:rPr>
        <w:t>To identify any practical lessons that could guide other oil and gas emerging frontiers.</w:t>
      </w:r>
    </w:p>
    <w:p w:rsidR="00CC44F6" w:rsidRPr="001A34D6" w:rsidRDefault="00F75B84" w:rsidP="001A34D6">
      <w:pPr>
        <w:pStyle w:val="Heading1"/>
      </w:pPr>
      <w:bookmarkStart w:id="2" w:name="_Toc415645365"/>
      <w:r w:rsidRPr="001A34D6">
        <w:t xml:space="preserve">2.0 </w:t>
      </w:r>
      <w:r w:rsidR="00CC44F6" w:rsidRPr="001A34D6">
        <w:t>Theoretical Framework</w:t>
      </w:r>
      <w:bookmarkEnd w:id="2"/>
    </w:p>
    <w:p w:rsidR="00CC44F6" w:rsidRPr="004F54AE" w:rsidRDefault="00CC44F6" w:rsidP="00983C1D">
      <w:pPr>
        <w:rPr>
          <w:szCs w:val="24"/>
          <w:lang w:val="en-GB"/>
        </w:rPr>
      </w:pPr>
      <w:r w:rsidRPr="004F54AE">
        <w:rPr>
          <w:szCs w:val="24"/>
          <w:lang w:val="en-GB"/>
        </w:rPr>
        <w:t xml:space="preserve">This research </w:t>
      </w:r>
      <w:r w:rsidR="000D52B6">
        <w:rPr>
          <w:szCs w:val="24"/>
          <w:lang w:val="en-GB"/>
        </w:rPr>
        <w:t>was guided by the R</w:t>
      </w:r>
      <w:r w:rsidRPr="004F54AE">
        <w:rPr>
          <w:szCs w:val="24"/>
          <w:lang w:val="en-GB"/>
        </w:rPr>
        <w:t xml:space="preserve">esource </w:t>
      </w:r>
      <w:r w:rsidR="000D52B6">
        <w:rPr>
          <w:szCs w:val="24"/>
          <w:lang w:val="en-GB"/>
        </w:rPr>
        <w:t>Based T</w:t>
      </w:r>
      <w:r w:rsidRPr="004F54AE">
        <w:rPr>
          <w:szCs w:val="24"/>
          <w:lang w:val="en-GB"/>
        </w:rPr>
        <w:t xml:space="preserve">heory with </w:t>
      </w:r>
      <w:r w:rsidR="000D52B6">
        <w:rPr>
          <w:szCs w:val="24"/>
          <w:lang w:val="en-GB"/>
        </w:rPr>
        <w:t xml:space="preserve">a </w:t>
      </w:r>
      <w:r w:rsidRPr="004F54AE">
        <w:rPr>
          <w:szCs w:val="24"/>
          <w:lang w:val="en-GB"/>
        </w:rPr>
        <w:t xml:space="preserve">focus on the value created as a result of pooling </w:t>
      </w:r>
      <w:r w:rsidR="000D52B6">
        <w:rPr>
          <w:szCs w:val="24"/>
          <w:lang w:val="en-GB"/>
        </w:rPr>
        <w:t xml:space="preserve">together </w:t>
      </w:r>
      <w:r w:rsidRPr="004F54AE">
        <w:rPr>
          <w:szCs w:val="24"/>
          <w:lang w:val="en-GB"/>
        </w:rPr>
        <w:t>resources from different organizations by way of a strategic partnership. Strickland (1990) notes that the resource based view leverages competitive advantage on the effective integration of partner firms to the others</w:t>
      </w:r>
      <w:r w:rsidR="000D52B6">
        <w:rPr>
          <w:szCs w:val="24"/>
          <w:lang w:val="en-GB"/>
        </w:rPr>
        <w:t>’</w:t>
      </w:r>
      <w:r w:rsidRPr="004F54AE">
        <w:rPr>
          <w:szCs w:val="24"/>
          <w:lang w:val="en-GB"/>
        </w:rPr>
        <w:t xml:space="preserve"> valuable resources. The theory advances that other environmental and industry structure characteristics are secondary to the firms’ access to resources. Olavarrieta</w:t>
      </w:r>
      <w:r w:rsidR="001D7FBB">
        <w:rPr>
          <w:szCs w:val="24"/>
          <w:lang w:val="en-GB"/>
        </w:rPr>
        <w:t xml:space="preserve"> </w:t>
      </w:r>
      <w:r>
        <w:rPr>
          <w:szCs w:val="24"/>
          <w:lang w:val="en-GB"/>
        </w:rPr>
        <w:t>and</w:t>
      </w:r>
      <w:r w:rsidR="001D7FBB">
        <w:rPr>
          <w:szCs w:val="24"/>
          <w:lang w:val="en-GB"/>
        </w:rPr>
        <w:t xml:space="preserve"> </w:t>
      </w:r>
      <w:r w:rsidRPr="004F54AE">
        <w:rPr>
          <w:szCs w:val="24"/>
          <w:lang w:val="en-GB"/>
        </w:rPr>
        <w:t>Ellinger (1997) observe that resources and distinct capabilities held by a company determine competitive position in the market.</w:t>
      </w:r>
    </w:p>
    <w:p w:rsidR="00CC44F6" w:rsidRPr="004F54AE" w:rsidRDefault="00CC44F6" w:rsidP="00D4010E">
      <w:pPr>
        <w:rPr>
          <w:szCs w:val="24"/>
          <w:lang w:val="en-GB"/>
        </w:rPr>
      </w:pPr>
      <w:r w:rsidRPr="004F54AE">
        <w:rPr>
          <w:szCs w:val="24"/>
          <w:lang w:val="en-GB"/>
        </w:rPr>
        <w:t xml:space="preserve">Das </w:t>
      </w:r>
      <w:r>
        <w:rPr>
          <w:szCs w:val="24"/>
          <w:lang w:val="en-GB"/>
        </w:rPr>
        <w:t>and</w:t>
      </w:r>
      <w:r w:rsidRPr="004F54AE">
        <w:rPr>
          <w:szCs w:val="24"/>
          <w:lang w:val="en-GB"/>
        </w:rPr>
        <w:t xml:space="preserve"> Sheng (2000) state that the resource based theory of strategic partnerships has four essential components</w:t>
      </w:r>
      <w:r w:rsidR="00F8133D">
        <w:rPr>
          <w:szCs w:val="24"/>
          <w:lang w:val="en-GB"/>
        </w:rPr>
        <w:t>:</w:t>
      </w:r>
      <w:r w:rsidRPr="004F54AE">
        <w:rPr>
          <w:szCs w:val="24"/>
          <w:lang w:val="en-GB"/>
        </w:rPr>
        <w:t xml:space="preserve"> rationale behind formation, how formation will be done, structure of the partnership and the actual formation. The value created by integration and alignment of resources in the long run takes prominence over associated transactional costs. Blackwell </w:t>
      </w:r>
      <w:r>
        <w:rPr>
          <w:szCs w:val="24"/>
          <w:lang w:val="en-GB"/>
        </w:rPr>
        <w:t>and</w:t>
      </w:r>
      <w:r w:rsidR="001D7FBB">
        <w:rPr>
          <w:szCs w:val="24"/>
          <w:lang w:val="en-GB"/>
        </w:rPr>
        <w:t xml:space="preserve"> </w:t>
      </w:r>
      <w:r w:rsidRPr="004F54AE">
        <w:rPr>
          <w:szCs w:val="24"/>
          <w:lang w:val="en-GB"/>
        </w:rPr>
        <w:t>Eppler (2014) highlight the importance of matching internal strengths to external opportunities in order to exploit opportunities in the business environment.</w:t>
      </w:r>
    </w:p>
    <w:p w:rsidR="00CC44F6" w:rsidRPr="001A34D6" w:rsidRDefault="00F75B84" w:rsidP="001A34D6">
      <w:pPr>
        <w:pStyle w:val="Heading2"/>
        <w:rPr>
          <w:rStyle w:val="SubtitleChar"/>
          <w:rFonts w:ascii="Times New Roman" w:hAnsi="Times New Roman"/>
        </w:rPr>
      </w:pPr>
      <w:bookmarkStart w:id="3" w:name="_Toc415645370"/>
      <w:r w:rsidRPr="001A34D6">
        <w:rPr>
          <w:rStyle w:val="SubtitleChar"/>
          <w:rFonts w:ascii="Times New Roman" w:hAnsi="Times New Roman"/>
        </w:rPr>
        <w:t xml:space="preserve">2.1 </w:t>
      </w:r>
      <w:r w:rsidR="00CC44F6" w:rsidRPr="001A34D6">
        <w:rPr>
          <w:rStyle w:val="SubtitleChar"/>
          <w:rFonts w:ascii="Times New Roman" w:hAnsi="Times New Roman"/>
        </w:rPr>
        <w:t>Formation of Strategic Partnerships</w:t>
      </w:r>
      <w:bookmarkEnd w:id="3"/>
    </w:p>
    <w:p w:rsidR="00CC44F6" w:rsidRPr="004F54AE" w:rsidRDefault="00CC44F6" w:rsidP="00D4010E">
      <w:pPr>
        <w:rPr>
          <w:szCs w:val="24"/>
          <w:lang w:val="en-GB"/>
        </w:rPr>
      </w:pPr>
      <w:r w:rsidRPr="004F54AE">
        <w:rPr>
          <w:szCs w:val="24"/>
          <w:lang w:val="en-GB"/>
        </w:rPr>
        <w:t>Strategic partnerships expedite the development of new technologies and specialized competencies (Gamble &amp;</w:t>
      </w:r>
      <w:r w:rsidR="0056752F">
        <w:rPr>
          <w:szCs w:val="24"/>
          <w:lang w:val="en-GB"/>
        </w:rPr>
        <w:t xml:space="preserve"> </w:t>
      </w:r>
      <w:r w:rsidRPr="004F54AE">
        <w:rPr>
          <w:szCs w:val="24"/>
          <w:lang w:val="en-GB"/>
        </w:rPr>
        <w:t>Peteraf, 2015). This results in massive time and cost savings for benefiting strategic partners. Distinct competencies must be difficult to imitate in order to be a useful strategic tool to enhance profitability (Blackwell &amp;</w:t>
      </w:r>
      <w:r w:rsidR="000E468D">
        <w:rPr>
          <w:szCs w:val="24"/>
          <w:lang w:val="en-GB"/>
        </w:rPr>
        <w:t xml:space="preserve"> </w:t>
      </w:r>
      <w:r w:rsidRPr="004F54AE">
        <w:rPr>
          <w:szCs w:val="24"/>
          <w:lang w:val="en-GB"/>
        </w:rPr>
        <w:t>Eppler, 2014).  A firms’ inputs (sourced externally), assets (proprietary interests owned) and capabilities are collated in the strategic partnership and the resources contributed can be either tangible or inta</w:t>
      </w:r>
      <w:r>
        <w:rPr>
          <w:szCs w:val="24"/>
          <w:lang w:val="en-GB"/>
        </w:rPr>
        <w:t>ngible (Olavarrieta</w:t>
      </w:r>
      <w:r w:rsidR="001D7FBB">
        <w:rPr>
          <w:szCs w:val="24"/>
          <w:lang w:val="en-GB"/>
        </w:rPr>
        <w:t xml:space="preserve"> </w:t>
      </w:r>
      <w:r>
        <w:rPr>
          <w:szCs w:val="24"/>
          <w:lang w:val="en-GB"/>
        </w:rPr>
        <w:t>&amp;</w:t>
      </w:r>
      <w:r w:rsidR="001D7FBB">
        <w:rPr>
          <w:szCs w:val="24"/>
          <w:lang w:val="en-GB"/>
        </w:rPr>
        <w:t xml:space="preserve"> </w:t>
      </w:r>
      <w:r>
        <w:rPr>
          <w:szCs w:val="24"/>
          <w:lang w:val="en-GB"/>
        </w:rPr>
        <w:t xml:space="preserve">Ellinger, </w:t>
      </w:r>
      <w:r w:rsidRPr="004F54AE">
        <w:rPr>
          <w:szCs w:val="24"/>
          <w:lang w:val="en-GB"/>
        </w:rPr>
        <w:t xml:space="preserve">1997). Blackwell </w:t>
      </w:r>
      <w:r>
        <w:rPr>
          <w:szCs w:val="24"/>
          <w:lang w:val="en-GB"/>
        </w:rPr>
        <w:t>and</w:t>
      </w:r>
      <w:r w:rsidR="001D7FBB">
        <w:rPr>
          <w:szCs w:val="24"/>
          <w:lang w:val="en-GB"/>
        </w:rPr>
        <w:t xml:space="preserve"> </w:t>
      </w:r>
      <w:r w:rsidRPr="004F54AE">
        <w:rPr>
          <w:szCs w:val="24"/>
          <w:lang w:val="en-GB"/>
        </w:rPr>
        <w:t xml:space="preserve">Eppler (2014) confirm that not all the strengths of a firm would be of importance to the strategic partner hence the need to have strategic direction when seeking to form strategic partnerships that boost the entity’s strengths. </w:t>
      </w:r>
    </w:p>
    <w:p w:rsidR="00CC44F6" w:rsidRPr="004F54AE" w:rsidRDefault="00CC44F6" w:rsidP="00D4010E">
      <w:pPr>
        <w:rPr>
          <w:szCs w:val="24"/>
          <w:lang w:val="en-GB"/>
        </w:rPr>
      </w:pPr>
      <w:r w:rsidRPr="004F54AE">
        <w:rPr>
          <w:szCs w:val="24"/>
          <w:lang w:val="en-GB"/>
        </w:rPr>
        <w:lastRenderedPageBreak/>
        <w:t xml:space="preserve">Stuart, Walker </w:t>
      </w:r>
      <w:r>
        <w:rPr>
          <w:szCs w:val="24"/>
          <w:lang w:val="en-GB"/>
        </w:rPr>
        <w:t>and</w:t>
      </w:r>
      <w:r w:rsidR="001D7FBB">
        <w:rPr>
          <w:szCs w:val="24"/>
          <w:lang w:val="en-GB"/>
        </w:rPr>
        <w:t xml:space="preserve"> </w:t>
      </w:r>
      <w:r w:rsidRPr="004F54AE">
        <w:rPr>
          <w:szCs w:val="24"/>
          <w:lang w:val="en-GB"/>
        </w:rPr>
        <w:t>Minzner (2011) describe the strategic partnership formation process beginning with the initiation phase where potential partners are evaluated to analyze suitability and synergy</w:t>
      </w:r>
      <w:r w:rsidR="00F8133D">
        <w:rPr>
          <w:szCs w:val="24"/>
          <w:lang w:val="en-GB"/>
        </w:rPr>
        <w:t>,</w:t>
      </w:r>
      <w:r w:rsidRPr="004F54AE">
        <w:rPr>
          <w:szCs w:val="24"/>
          <w:lang w:val="en-GB"/>
        </w:rPr>
        <w:t xml:space="preserve"> after </w:t>
      </w:r>
      <w:r w:rsidR="00F8133D">
        <w:rPr>
          <w:szCs w:val="24"/>
          <w:lang w:val="en-GB"/>
        </w:rPr>
        <w:t xml:space="preserve">which </w:t>
      </w:r>
      <w:r w:rsidRPr="004F54AE">
        <w:rPr>
          <w:szCs w:val="24"/>
          <w:lang w:val="en-GB"/>
        </w:rPr>
        <w:t xml:space="preserve">a suitable strategic partner is selected, ending with the actual formalization and creation of the strategic partnership. The planning phase follows the inception phase where the rules of engagement for the alliance partners and the projects anticipated for the partnership are detailed and agreed upon. Implementation follows thereafter. Wohlsetter, Smith </w:t>
      </w:r>
      <w:r>
        <w:rPr>
          <w:szCs w:val="24"/>
          <w:lang w:val="en-GB"/>
        </w:rPr>
        <w:t>and</w:t>
      </w:r>
      <w:r w:rsidRPr="004F54AE">
        <w:rPr>
          <w:szCs w:val="24"/>
          <w:lang w:val="en-GB"/>
        </w:rPr>
        <w:t xml:space="preserve"> Malloy (2005) indicate that the success of a strategic partnership is premised on its construction and the progressive milestones set at each phase. </w:t>
      </w:r>
    </w:p>
    <w:p w:rsidR="00F8133D" w:rsidRPr="005936B6" w:rsidRDefault="00F75B84" w:rsidP="00B1259B">
      <w:pPr>
        <w:pStyle w:val="Heading1"/>
      </w:pPr>
      <w:r>
        <w:t xml:space="preserve">3.0 </w:t>
      </w:r>
      <w:r w:rsidR="00F8133D" w:rsidRPr="005936B6">
        <w:t xml:space="preserve">Research </w:t>
      </w:r>
      <w:r w:rsidR="005936B6">
        <w:t>M</w:t>
      </w:r>
      <w:r w:rsidR="00F8133D" w:rsidRPr="005936B6">
        <w:t>ethodology</w:t>
      </w:r>
    </w:p>
    <w:p w:rsidR="00F75B84" w:rsidRPr="00B1259B" w:rsidRDefault="00F8133D" w:rsidP="00B1259B">
      <w:pPr>
        <w:rPr>
          <w:szCs w:val="24"/>
        </w:rPr>
      </w:pPr>
      <w:r w:rsidRPr="004F54AE">
        <w:rPr>
          <w:szCs w:val="24"/>
        </w:rPr>
        <w:t>The research</w:t>
      </w:r>
      <w:r>
        <w:rPr>
          <w:szCs w:val="24"/>
        </w:rPr>
        <w:t xml:space="preserve"> adopted a descriptive study</w:t>
      </w:r>
      <w:r w:rsidR="0056752F">
        <w:rPr>
          <w:szCs w:val="24"/>
        </w:rPr>
        <w:t xml:space="preserve"> </w:t>
      </w:r>
      <w:r>
        <w:rPr>
          <w:szCs w:val="24"/>
        </w:rPr>
        <w:t xml:space="preserve">and </w:t>
      </w:r>
      <w:r w:rsidRPr="004F54AE">
        <w:rPr>
          <w:szCs w:val="24"/>
        </w:rPr>
        <w:t xml:space="preserve">used a case study which </w:t>
      </w:r>
      <w:r>
        <w:rPr>
          <w:szCs w:val="24"/>
        </w:rPr>
        <w:t>was</w:t>
      </w:r>
      <w:r w:rsidRPr="004F54AE">
        <w:rPr>
          <w:szCs w:val="24"/>
        </w:rPr>
        <w:t xml:space="preserve"> essential for acquiring in</w:t>
      </w:r>
      <w:r>
        <w:rPr>
          <w:szCs w:val="24"/>
        </w:rPr>
        <w:t>-</w:t>
      </w:r>
      <w:r w:rsidRPr="004F54AE">
        <w:rPr>
          <w:szCs w:val="24"/>
        </w:rPr>
        <w:t xml:space="preserve"> depth information </w:t>
      </w:r>
      <w:r>
        <w:rPr>
          <w:szCs w:val="24"/>
        </w:rPr>
        <w:t>that</w:t>
      </w:r>
      <w:r w:rsidRPr="004F54AE">
        <w:rPr>
          <w:szCs w:val="24"/>
        </w:rPr>
        <w:t xml:space="preserve"> was required for th</w:t>
      </w:r>
      <w:r>
        <w:rPr>
          <w:szCs w:val="24"/>
        </w:rPr>
        <w:t>is</w:t>
      </w:r>
      <w:r w:rsidRPr="004F54AE">
        <w:rPr>
          <w:szCs w:val="24"/>
        </w:rPr>
        <w:t xml:space="preserve"> study. The </w:t>
      </w:r>
      <w:r>
        <w:rPr>
          <w:szCs w:val="24"/>
        </w:rPr>
        <w:t>study</w:t>
      </w:r>
      <w:r w:rsidRPr="004F54AE">
        <w:rPr>
          <w:szCs w:val="24"/>
        </w:rPr>
        <w:t xml:space="preserve"> sought to investigate whether National Oil </w:t>
      </w:r>
      <w:r w:rsidR="005215D0">
        <w:rPr>
          <w:szCs w:val="24"/>
        </w:rPr>
        <w:t xml:space="preserve">Corporation </w:t>
      </w:r>
      <w:r w:rsidRPr="004F54AE">
        <w:rPr>
          <w:szCs w:val="24"/>
        </w:rPr>
        <w:t xml:space="preserve">has utilized strategic partnerships and to </w:t>
      </w:r>
      <w:r w:rsidR="008418E9">
        <w:rPr>
          <w:szCs w:val="24"/>
        </w:rPr>
        <w:t xml:space="preserve">establish whether the organization has enjoyed some </w:t>
      </w:r>
      <w:r w:rsidRPr="004F54AE">
        <w:rPr>
          <w:szCs w:val="24"/>
        </w:rPr>
        <w:t xml:space="preserve">benefits resulting from </w:t>
      </w:r>
      <w:r w:rsidR="005215D0">
        <w:rPr>
          <w:szCs w:val="24"/>
        </w:rPr>
        <w:t>such partnerships</w:t>
      </w:r>
      <w:r w:rsidRPr="004F54AE">
        <w:rPr>
          <w:szCs w:val="24"/>
        </w:rPr>
        <w:t>.</w:t>
      </w:r>
      <w:r w:rsidR="0056752F">
        <w:rPr>
          <w:szCs w:val="24"/>
        </w:rPr>
        <w:t xml:space="preserve"> </w:t>
      </w:r>
      <w:r w:rsidRPr="004F54AE">
        <w:rPr>
          <w:szCs w:val="24"/>
        </w:rPr>
        <w:t>The research</w:t>
      </w:r>
      <w:r w:rsidR="0056752F">
        <w:rPr>
          <w:szCs w:val="24"/>
        </w:rPr>
        <w:t xml:space="preserve"> </w:t>
      </w:r>
      <w:r w:rsidRPr="004F54AE">
        <w:rPr>
          <w:szCs w:val="24"/>
        </w:rPr>
        <w:t>sought to establish the linkage between strategic partnerships and enhancement of financial, technical</w:t>
      </w:r>
      <w:r w:rsidR="008418E9">
        <w:rPr>
          <w:szCs w:val="24"/>
        </w:rPr>
        <w:t xml:space="preserve"> and </w:t>
      </w:r>
      <w:r w:rsidRPr="004F54AE">
        <w:rPr>
          <w:szCs w:val="24"/>
        </w:rPr>
        <w:t>skills capabilities at National Oil and the effects on the brand perception of the company.</w:t>
      </w:r>
    </w:p>
    <w:p w:rsidR="00751A58" w:rsidRPr="004F54AE" w:rsidRDefault="005215D0" w:rsidP="00D4010E">
      <w:pPr>
        <w:rPr>
          <w:szCs w:val="24"/>
        </w:rPr>
      </w:pPr>
      <w:r w:rsidRPr="004F54AE">
        <w:rPr>
          <w:szCs w:val="24"/>
        </w:rPr>
        <w:t>In this research, the population comprise</w:t>
      </w:r>
      <w:r w:rsidR="008418E9">
        <w:rPr>
          <w:szCs w:val="24"/>
        </w:rPr>
        <w:t>d of</w:t>
      </w:r>
      <w:r w:rsidRPr="004F54AE">
        <w:rPr>
          <w:szCs w:val="24"/>
        </w:rPr>
        <w:t xml:space="preserve"> the </w:t>
      </w:r>
      <w:r w:rsidR="009503A9">
        <w:rPr>
          <w:szCs w:val="24"/>
        </w:rPr>
        <w:t xml:space="preserve">employees in the Upstream Department of </w:t>
      </w:r>
      <w:r w:rsidRPr="004F54AE">
        <w:rPr>
          <w:szCs w:val="24"/>
        </w:rPr>
        <w:t xml:space="preserve">National Oil Corporation of Kenya staff who are 231 </w:t>
      </w:r>
      <w:r w:rsidR="008418E9">
        <w:rPr>
          <w:szCs w:val="24"/>
        </w:rPr>
        <w:t>according to</w:t>
      </w:r>
      <w:r w:rsidRPr="004F54AE">
        <w:rPr>
          <w:szCs w:val="24"/>
        </w:rPr>
        <w:t xml:space="preserve"> Human Resource Departmental records as at December, 2014.</w:t>
      </w:r>
      <w:r w:rsidR="00751A58" w:rsidRPr="004F54AE">
        <w:rPr>
          <w:szCs w:val="24"/>
        </w:rPr>
        <w:t>The sample size comprise</w:t>
      </w:r>
      <w:r w:rsidR="008418E9">
        <w:rPr>
          <w:szCs w:val="24"/>
        </w:rPr>
        <w:t>d</w:t>
      </w:r>
      <w:r w:rsidR="00751A58" w:rsidRPr="004F54AE">
        <w:rPr>
          <w:szCs w:val="24"/>
        </w:rPr>
        <w:t xml:space="preserve"> of 59 individuals out of 231 staff which </w:t>
      </w:r>
      <w:r w:rsidR="008418E9">
        <w:rPr>
          <w:szCs w:val="24"/>
        </w:rPr>
        <w:t xml:space="preserve">accounted for </w:t>
      </w:r>
      <w:r w:rsidR="00751A58" w:rsidRPr="004F54AE">
        <w:rPr>
          <w:szCs w:val="24"/>
        </w:rPr>
        <w:t>25% of staff engaged at National Oil Corporation of Kenya.</w:t>
      </w:r>
      <w:r w:rsidR="009503A9">
        <w:rPr>
          <w:szCs w:val="24"/>
          <w:lang w:val="en-GB"/>
        </w:rPr>
        <w:t>Individual</w:t>
      </w:r>
      <w:r w:rsidR="00EA0859">
        <w:rPr>
          <w:szCs w:val="24"/>
          <w:lang w:val="en-GB"/>
        </w:rPr>
        <w:t>s</w:t>
      </w:r>
      <w:r w:rsidR="009503A9">
        <w:rPr>
          <w:szCs w:val="24"/>
          <w:lang w:val="en-GB"/>
        </w:rPr>
        <w:t xml:space="preserve"> who formed this sample were pick</w:t>
      </w:r>
      <w:r w:rsidR="00EA0859">
        <w:rPr>
          <w:szCs w:val="24"/>
          <w:lang w:val="en-GB"/>
        </w:rPr>
        <w:t>ed</w:t>
      </w:r>
      <w:r w:rsidR="009503A9">
        <w:rPr>
          <w:szCs w:val="24"/>
          <w:lang w:val="en-GB"/>
        </w:rPr>
        <w:t xml:space="preserve"> using a simple random sampling technique.</w:t>
      </w:r>
      <w:r w:rsidR="001D7FBB">
        <w:rPr>
          <w:szCs w:val="24"/>
          <w:lang w:val="en-GB"/>
        </w:rPr>
        <w:t xml:space="preserve"> </w:t>
      </w:r>
      <w:r w:rsidR="00751A58" w:rsidRPr="004F54AE">
        <w:rPr>
          <w:szCs w:val="24"/>
          <w:lang w:val="en-GB"/>
        </w:rPr>
        <w:t>Mugenda</w:t>
      </w:r>
      <w:r w:rsidR="001D7FBB">
        <w:rPr>
          <w:szCs w:val="24"/>
          <w:lang w:val="en-GB"/>
        </w:rPr>
        <w:t xml:space="preserve"> </w:t>
      </w:r>
      <w:r w:rsidR="00B1259B">
        <w:rPr>
          <w:szCs w:val="24"/>
          <w:lang w:val="en-GB"/>
        </w:rPr>
        <w:t>and</w:t>
      </w:r>
      <w:r w:rsidR="001D7FBB">
        <w:rPr>
          <w:szCs w:val="24"/>
          <w:lang w:val="en-GB"/>
        </w:rPr>
        <w:t xml:space="preserve"> </w:t>
      </w:r>
      <w:r w:rsidR="00751A58" w:rsidRPr="004F54AE">
        <w:rPr>
          <w:szCs w:val="24"/>
          <w:lang w:val="en-GB"/>
        </w:rPr>
        <w:t>Mugenda (2003) note that a sample size of between 10% to 30% of the population is a good representation of the target population.</w:t>
      </w:r>
    </w:p>
    <w:p w:rsidR="00F8133D" w:rsidRDefault="00F75B84" w:rsidP="00B1259B">
      <w:pPr>
        <w:pStyle w:val="Heading1"/>
      </w:pPr>
      <w:r>
        <w:t xml:space="preserve">4.0 </w:t>
      </w:r>
      <w:r w:rsidR="00F8133D" w:rsidRPr="005936B6">
        <w:t>Results</w:t>
      </w:r>
      <w:r>
        <w:t xml:space="preserve"> and Discussions</w:t>
      </w:r>
    </w:p>
    <w:p w:rsidR="00F75B84" w:rsidRPr="005936B6" w:rsidRDefault="00F75B84" w:rsidP="00B1259B">
      <w:pPr>
        <w:pStyle w:val="Heading2"/>
      </w:pPr>
      <w:r>
        <w:t>4.1 Utilization of Strategic Partnerships</w:t>
      </w:r>
    </w:p>
    <w:p w:rsidR="00B1259B" w:rsidRDefault="0082694E" w:rsidP="007B383D">
      <w:pPr>
        <w:spacing w:before="90"/>
        <w:rPr>
          <w:szCs w:val="24"/>
        </w:rPr>
      </w:pPr>
      <w:r w:rsidRPr="004F54AE">
        <w:rPr>
          <w:szCs w:val="24"/>
        </w:rPr>
        <w:t xml:space="preserve">The research </w:t>
      </w:r>
      <w:r w:rsidR="00B1259B">
        <w:rPr>
          <w:szCs w:val="24"/>
        </w:rPr>
        <w:t>sought to establish</w:t>
      </w:r>
      <w:r w:rsidRPr="004F54AE">
        <w:rPr>
          <w:szCs w:val="24"/>
        </w:rPr>
        <w:t xml:space="preserve"> the extent </w:t>
      </w:r>
      <w:r w:rsidR="008418E9">
        <w:rPr>
          <w:szCs w:val="24"/>
        </w:rPr>
        <w:t>to which</w:t>
      </w:r>
      <w:r w:rsidRPr="004F54AE">
        <w:rPr>
          <w:szCs w:val="24"/>
        </w:rPr>
        <w:t xml:space="preserve"> strategic partnerships </w:t>
      </w:r>
      <w:r w:rsidR="008418E9">
        <w:rPr>
          <w:szCs w:val="24"/>
        </w:rPr>
        <w:t xml:space="preserve">were utilized </w:t>
      </w:r>
      <w:r w:rsidR="00376C7A">
        <w:rPr>
          <w:szCs w:val="24"/>
        </w:rPr>
        <w:t>in</w:t>
      </w:r>
      <w:r w:rsidRPr="004F54AE">
        <w:rPr>
          <w:szCs w:val="24"/>
        </w:rPr>
        <w:t xml:space="preserve"> developing </w:t>
      </w:r>
      <w:r w:rsidR="00376C7A">
        <w:rPr>
          <w:szCs w:val="24"/>
        </w:rPr>
        <w:t>the</w:t>
      </w:r>
      <w:r w:rsidRPr="004F54AE">
        <w:rPr>
          <w:szCs w:val="24"/>
        </w:rPr>
        <w:t xml:space="preserve"> capacity </w:t>
      </w:r>
      <w:r w:rsidR="00376C7A">
        <w:rPr>
          <w:szCs w:val="24"/>
        </w:rPr>
        <w:t>of</w:t>
      </w:r>
      <w:r w:rsidRPr="004F54AE">
        <w:rPr>
          <w:szCs w:val="24"/>
        </w:rPr>
        <w:t xml:space="preserve"> National Oil Co</w:t>
      </w:r>
      <w:r w:rsidR="00376C7A">
        <w:rPr>
          <w:szCs w:val="24"/>
        </w:rPr>
        <w:t>rporation</w:t>
      </w:r>
      <w:r w:rsidRPr="004F54AE">
        <w:rPr>
          <w:szCs w:val="24"/>
        </w:rPr>
        <w:t xml:space="preserve"> in Kenya. </w:t>
      </w:r>
      <w:r w:rsidR="00B1259B">
        <w:rPr>
          <w:szCs w:val="24"/>
        </w:rPr>
        <w:t>Results findings were presented in figure 1.</w:t>
      </w:r>
    </w:p>
    <w:p w:rsidR="00B1259B" w:rsidRPr="004F54AE" w:rsidRDefault="00ED6B6C" w:rsidP="00B1259B">
      <w:pPr>
        <w:spacing w:before="240"/>
        <w:rPr>
          <w:szCs w:val="24"/>
        </w:rPr>
      </w:pPr>
      <w:r>
        <w:rPr>
          <w:noProof/>
          <w:szCs w:val="24"/>
        </w:rPr>
        <w:drawing>
          <wp:inline distT="0" distB="0" distL="0" distR="0">
            <wp:extent cx="5013325" cy="2335530"/>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259B" w:rsidRPr="00B1259B" w:rsidRDefault="00B1259B" w:rsidP="00B1259B">
      <w:pPr>
        <w:pStyle w:val="Heading5"/>
      </w:pPr>
      <w:bookmarkStart w:id="4" w:name="_Toc415642081"/>
      <w:r w:rsidRPr="004F54AE">
        <w:t xml:space="preserve">Figure </w:t>
      </w:r>
      <w:r>
        <w:t>1</w:t>
      </w:r>
      <w:r w:rsidRPr="004F54AE">
        <w:t xml:space="preserve">: </w:t>
      </w:r>
      <w:r w:rsidRPr="00940682">
        <w:t>Extent of impact of strategic partnerships on capacity at National Oil Company in Kenya</w:t>
      </w:r>
      <w:bookmarkEnd w:id="4"/>
      <w:r w:rsidRPr="004F54AE">
        <w:tab/>
      </w:r>
    </w:p>
    <w:p w:rsidR="0082694E" w:rsidRPr="004F54AE" w:rsidRDefault="0082694E" w:rsidP="007B383D">
      <w:r w:rsidRPr="004F54AE">
        <w:lastRenderedPageBreak/>
        <w:t xml:space="preserve">According to the findings, it was established that </w:t>
      </w:r>
      <w:r w:rsidR="00E369A5" w:rsidRPr="004F54AE">
        <w:t xml:space="preserve">10% </w:t>
      </w:r>
      <w:r w:rsidRPr="004F54AE">
        <w:t xml:space="preserve">of the respondents indicated that utilization of strategic partnerships </w:t>
      </w:r>
      <w:r w:rsidR="00E369A5">
        <w:t>in</w:t>
      </w:r>
      <w:r w:rsidRPr="004F54AE">
        <w:t xml:space="preserve"> developing local capacity was to </w:t>
      </w:r>
      <w:r w:rsidR="00E369A5">
        <w:t>a</w:t>
      </w:r>
      <w:r w:rsidR="00E369A5" w:rsidRPr="004F54AE">
        <w:t xml:space="preserve"> very great extent, 51%</w:t>
      </w:r>
      <w:r w:rsidR="00E369A5">
        <w:t xml:space="preserve"> indicated </w:t>
      </w:r>
      <w:r w:rsidRPr="004F54AE">
        <w:t>a great extent</w:t>
      </w:r>
      <w:r w:rsidR="00E369A5" w:rsidRPr="004F54AE">
        <w:t>, 20</w:t>
      </w:r>
      <w:r w:rsidRPr="004F54AE">
        <w:t xml:space="preserve">% </w:t>
      </w:r>
      <w:r w:rsidR="00E369A5">
        <w:t xml:space="preserve">said indicated </w:t>
      </w:r>
      <w:r w:rsidRPr="004F54AE">
        <w:t xml:space="preserve">average, </w:t>
      </w:r>
      <w:r w:rsidR="00E369A5" w:rsidRPr="004F54AE">
        <w:t>and 10</w:t>
      </w:r>
      <w:r w:rsidRPr="004F54AE">
        <w:t xml:space="preserve">% said </w:t>
      </w:r>
      <w:r w:rsidR="00E369A5">
        <w:t xml:space="preserve">they had </w:t>
      </w:r>
      <w:r w:rsidRPr="004F54AE">
        <w:t xml:space="preserve">little extent while only 8% </w:t>
      </w:r>
      <w:r w:rsidR="00E369A5">
        <w:t xml:space="preserve">indicated that strategic partnerships had </w:t>
      </w:r>
      <w:r w:rsidRPr="004F54AE">
        <w:t>no extent</w:t>
      </w:r>
      <w:r w:rsidR="00E369A5">
        <w:t xml:space="preserve"> at all</w:t>
      </w:r>
      <w:r w:rsidRPr="004F54AE">
        <w:t>. Th</w:t>
      </w:r>
      <w:r w:rsidR="00E369A5">
        <w:t>e</w:t>
      </w:r>
      <w:r w:rsidRPr="004F54AE">
        <w:t>s</w:t>
      </w:r>
      <w:r w:rsidR="00E369A5">
        <w:t>e findings</w:t>
      </w:r>
      <w:r w:rsidRPr="004F54AE">
        <w:t xml:space="preserve"> implied that strategic partnerships </w:t>
      </w:r>
      <w:r w:rsidR="00E369A5">
        <w:t xml:space="preserve">are key strategic initiatives used </w:t>
      </w:r>
      <w:r w:rsidRPr="004F54AE">
        <w:t>by National Oil Company in Kenya</w:t>
      </w:r>
      <w:r w:rsidR="0056752F">
        <w:t xml:space="preserve"> </w:t>
      </w:r>
      <w:r w:rsidR="00E369A5" w:rsidRPr="004F54AE">
        <w:t>to develop</w:t>
      </w:r>
      <w:r w:rsidR="00E369A5">
        <w:t xml:space="preserve"> its capacity</w:t>
      </w:r>
      <w:r w:rsidRPr="004F54AE">
        <w:t xml:space="preserve">. </w:t>
      </w:r>
      <w:r w:rsidR="00DD5BBC">
        <w:t xml:space="preserve">It can therefore, be inferred that </w:t>
      </w:r>
      <w:r w:rsidRPr="004F54AE">
        <w:t>strategic partnerships had resulted in enhanced internal capacities which confirm</w:t>
      </w:r>
      <w:r w:rsidR="00DD5BBC">
        <w:t>ed</w:t>
      </w:r>
      <w:r w:rsidRPr="004F54AE">
        <w:t xml:space="preserve"> that </w:t>
      </w:r>
      <w:r w:rsidR="00DD5BBC">
        <w:t xml:space="preserve">they </w:t>
      </w:r>
      <w:r w:rsidRPr="004F54AE">
        <w:t>indeed impa</w:t>
      </w:r>
      <w:r>
        <w:t xml:space="preserve">cted </w:t>
      </w:r>
      <w:r w:rsidR="00DD5BBC">
        <w:t>on the company</w:t>
      </w:r>
      <w:r>
        <w:t xml:space="preserve"> positively. </w:t>
      </w:r>
      <w:r w:rsidRPr="004F54AE">
        <w:t>This confirms Ungson</w:t>
      </w:r>
      <w:r w:rsidR="0056752F">
        <w:t xml:space="preserve"> </w:t>
      </w:r>
      <w:r>
        <w:t>and</w:t>
      </w:r>
      <w:r w:rsidRPr="004F54AE">
        <w:t xml:space="preserve"> Wong (2008) assertion that Strategic partnerships are proven to be an efficient resource sharing mechanism targeted towards building core competencies required for competitive advantage within an existing market.</w:t>
      </w:r>
    </w:p>
    <w:p w:rsidR="00DD5BBC" w:rsidRPr="005936B6" w:rsidRDefault="00F75B84" w:rsidP="00B1259B">
      <w:pPr>
        <w:pStyle w:val="Heading2"/>
        <w:rPr>
          <w:lang w:val="en-CA" w:eastAsia="en-CA"/>
        </w:rPr>
      </w:pPr>
      <w:bookmarkStart w:id="5" w:name="_Toc415578501"/>
      <w:r>
        <w:rPr>
          <w:lang w:val="en-CA" w:eastAsia="en-CA"/>
        </w:rPr>
        <w:t xml:space="preserve">4.2 </w:t>
      </w:r>
      <w:r w:rsidR="00DD5BBC" w:rsidRPr="005936B6">
        <w:rPr>
          <w:lang w:val="en-CA" w:eastAsia="en-CA"/>
        </w:rPr>
        <w:t xml:space="preserve">Impact of Strategic Partnerships </w:t>
      </w:r>
    </w:p>
    <w:p w:rsidR="0082694E" w:rsidRPr="00C60793" w:rsidRDefault="00DD5BBC" w:rsidP="007B383D">
      <w:pPr>
        <w:pStyle w:val="Caption"/>
      </w:pPr>
      <w:r>
        <w:t xml:space="preserve">The research sought to know whether </w:t>
      </w:r>
      <w:r w:rsidR="0082694E" w:rsidRPr="004F54AE">
        <w:t xml:space="preserve">strategic partnerships </w:t>
      </w:r>
      <w:r>
        <w:t>had any impact on</w:t>
      </w:r>
      <w:r w:rsidR="0082694E" w:rsidRPr="004F54AE">
        <w:t xml:space="preserve"> brand visibility and growth, enhancing financial capacity, technological capacity and in enabling knowledge transfer.</w:t>
      </w:r>
      <w:bookmarkEnd w:id="5"/>
      <w:r w:rsidR="0056752F">
        <w:t xml:space="preserve"> </w:t>
      </w:r>
      <w:r w:rsidR="00B1259B">
        <w:t>Results were presented in table 1.</w:t>
      </w:r>
    </w:p>
    <w:p w:rsidR="0082694E" w:rsidRDefault="0082694E" w:rsidP="00B1259B">
      <w:pPr>
        <w:pStyle w:val="Heading4"/>
      </w:pPr>
      <w:bookmarkStart w:id="6" w:name="_Toc415641732"/>
      <w:bookmarkStart w:id="7" w:name="_Toc415641809"/>
      <w:bookmarkStart w:id="8" w:name="_Toc415642082"/>
      <w:r>
        <w:t xml:space="preserve">Table </w:t>
      </w:r>
      <w:r w:rsidR="00DD5BBC">
        <w:t>1</w:t>
      </w:r>
      <w:r w:rsidRPr="004F54AE">
        <w:t>:</w:t>
      </w:r>
      <w:r w:rsidRPr="00C5557A">
        <w:t xml:space="preserve">In-house capabilities developed as a result of strategic </w:t>
      </w:r>
      <w:r w:rsidR="00DD5BBC">
        <w:t>Partnerships</w:t>
      </w:r>
      <w:bookmarkEnd w:id="6"/>
      <w:bookmarkEnd w:id="7"/>
      <w:bookmarkEnd w:id="8"/>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3259"/>
        <w:gridCol w:w="1712"/>
        <w:gridCol w:w="1349"/>
        <w:gridCol w:w="1621"/>
        <w:gridCol w:w="1301"/>
      </w:tblGrid>
      <w:tr w:rsidR="001F3AAC" w:rsidRPr="001F3AAC" w:rsidTr="001F3AAC">
        <w:trPr>
          <w:trHeight w:val="300"/>
        </w:trPr>
        <w:tc>
          <w:tcPr>
            <w:tcW w:w="1763" w:type="pct"/>
            <w:tcBorders>
              <w:top w:val="single" w:sz="4" w:space="0" w:color="auto"/>
              <w:bottom w:val="single" w:sz="4" w:space="0" w:color="auto"/>
            </w:tcBorders>
            <w:shd w:val="clear" w:color="auto" w:fill="auto"/>
            <w:noWrap/>
            <w:vAlign w:val="bottom"/>
            <w:hideMark/>
          </w:tcPr>
          <w:p w:rsidR="0082694E" w:rsidRPr="001F3AAC" w:rsidRDefault="0082694E" w:rsidP="00D4010E">
            <w:pPr>
              <w:spacing w:after="0"/>
              <w:rPr>
                <w:rFonts w:eastAsia="Times New Roman"/>
                <w:color w:val="000000"/>
                <w:szCs w:val="24"/>
              </w:rPr>
            </w:pPr>
          </w:p>
        </w:tc>
        <w:tc>
          <w:tcPr>
            <w:tcW w:w="926" w:type="pct"/>
            <w:tcBorders>
              <w:top w:val="single" w:sz="4" w:space="0" w:color="auto"/>
              <w:bottom w:val="single" w:sz="4" w:space="0" w:color="auto"/>
            </w:tcBorders>
            <w:shd w:val="clear" w:color="auto" w:fill="auto"/>
            <w:noWrap/>
            <w:vAlign w:val="bottom"/>
            <w:hideMark/>
          </w:tcPr>
          <w:p w:rsidR="0082694E" w:rsidRPr="001F3AAC" w:rsidRDefault="0082694E" w:rsidP="00D4010E">
            <w:pPr>
              <w:spacing w:after="0"/>
              <w:rPr>
                <w:rFonts w:eastAsia="Times New Roman"/>
                <w:color w:val="000000"/>
                <w:szCs w:val="24"/>
              </w:rPr>
            </w:pPr>
            <w:r w:rsidRPr="001F3AAC">
              <w:rPr>
                <w:rFonts w:eastAsia="Times New Roman"/>
                <w:color w:val="000000"/>
                <w:szCs w:val="24"/>
              </w:rPr>
              <w:t>Yes/Frequency</w:t>
            </w:r>
          </w:p>
        </w:tc>
        <w:tc>
          <w:tcPr>
            <w:tcW w:w="730" w:type="pct"/>
            <w:tcBorders>
              <w:top w:val="single" w:sz="4" w:space="0" w:color="auto"/>
              <w:bottom w:val="single" w:sz="4" w:space="0" w:color="auto"/>
            </w:tcBorders>
            <w:shd w:val="clear" w:color="auto" w:fill="auto"/>
            <w:noWrap/>
            <w:vAlign w:val="bottom"/>
            <w:hideMark/>
          </w:tcPr>
          <w:p w:rsidR="0082694E" w:rsidRPr="001F3AAC" w:rsidRDefault="0082694E" w:rsidP="00D4010E">
            <w:pPr>
              <w:spacing w:after="0"/>
              <w:rPr>
                <w:rFonts w:eastAsia="Times New Roman"/>
                <w:color w:val="000000"/>
                <w:szCs w:val="24"/>
              </w:rPr>
            </w:pPr>
            <w:r w:rsidRPr="001F3AAC">
              <w:rPr>
                <w:rFonts w:eastAsia="Times New Roman"/>
                <w:color w:val="000000"/>
                <w:szCs w:val="24"/>
              </w:rPr>
              <w:t>Percentage (%)</w:t>
            </w:r>
          </w:p>
        </w:tc>
        <w:tc>
          <w:tcPr>
            <w:tcW w:w="877" w:type="pct"/>
            <w:tcBorders>
              <w:top w:val="single" w:sz="4" w:space="0" w:color="auto"/>
              <w:bottom w:val="single" w:sz="4" w:space="0" w:color="auto"/>
            </w:tcBorders>
            <w:shd w:val="clear" w:color="auto" w:fill="auto"/>
            <w:noWrap/>
            <w:vAlign w:val="bottom"/>
            <w:hideMark/>
          </w:tcPr>
          <w:p w:rsidR="0082694E" w:rsidRPr="001F3AAC" w:rsidRDefault="0082694E" w:rsidP="00D4010E">
            <w:pPr>
              <w:spacing w:after="0"/>
              <w:rPr>
                <w:rFonts w:eastAsia="Times New Roman"/>
                <w:color w:val="000000"/>
                <w:szCs w:val="24"/>
              </w:rPr>
            </w:pPr>
            <w:r w:rsidRPr="001F3AAC">
              <w:rPr>
                <w:rFonts w:eastAsia="Times New Roman"/>
                <w:color w:val="000000"/>
                <w:szCs w:val="24"/>
              </w:rPr>
              <w:t>No/Frequency</w:t>
            </w:r>
          </w:p>
        </w:tc>
        <w:tc>
          <w:tcPr>
            <w:tcW w:w="705" w:type="pct"/>
            <w:tcBorders>
              <w:top w:val="single" w:sz="4" w:space="0" w:color="auto"/>
              <w:bottom w:val="single" w:sz="4" w:space="0" w:color="auto"/>
            </w:tcBorders>
            <w:shd w:val="clear" w:color="auto" w:fill="auto"/>
            <w:noWrap/>
            <w:vAlign w:val="bottom"/>
            <w:hideMark/>
          </w:tcPr>
          <w:p w:rsidR="0082694E" w:rsidRPr="001F3AAC" w:rsidRDefault="0082694E" w:rsidP="00D4010E">
            <w:pPr>
              <w:spacing w:after="0"/>
              <w:rPr>
                <w:rFonts w:eastAsia="Times New Roman"/>
                <w:color w:val="000000"/>
                <w:szCs w:val="24"/>
              </w:rPr>
            </w:pPr>
            <w:r w:rsidRPr="001F3AAC">
              <w:rPr>
                <w:rFonts w:eastAsia="Times New Roman"/>
                <w:color w:val="000000"/>
                <w:szCs w:val="24"/>
              </w:rPr>
              <w:t>Percentage (%)</w:t>
            </w:r>
          </w:p>
        </w:tc>
      </w:tr>
      <w:tr w:rsidR="001F3AAC" w:rsidRPr="004F54AE" w:rsidTr="001F3AAC">
        <w:trPr>
          <w:trHeight w:val="80"/>
        </w:trPr>
        <w:tc>
          <w:tcPr>
            <w:tcW w:w="1763" w:type="pct"/>
            <w:tcBorders>
              <w:top w:val="single" w:sz="4" w:space="0" w:color="auto"/>
            </w:tcBorders>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 xml:space="preserve">Technological Capabilities </w:t>
            </w:r>
          </w:p>
        </w:tc>
        <w:tc>
          <w:tcPr>
            <w:tcW w:w="926" w:type="pct"/>
            <w:tcBorders>
              <w:top w:val="single" w:sz="4" w:space="0" w:color="auto"/>
            </w:tcBorders>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41</w:t>
            </w:r>
          </w:p>
        </w:tc>
        <w:tc>
          <w:tcPr>
            <w:tcW w:w="730" w:type="pct"/>
            <w:tcBorders>
              <w:top w:val="single" w:sz="4" w:space="0" w:color="auto"/>
            </w:tcBorders>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84</w:t>
            </w:r>
          </w:p>
        </w:tc>
        <w:tc>
          <w:tcPr>
            <w:tcW w:w="877" w:type="pct"/>
            <w:tcBorders>
              <w:top w:val="single" w:sz="4" w:space="0" w:color="auto"/>
            </w:tcBorders>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8</w:t>
            </w:r>
          </w:p>
        </w:tc>
        <w:tc>
          <w:tcPr>
            <w:tcW w:w="705" w:type="pct"/>
            <w:tcBorders>
              <w:top w:val="single" w:sz="4" w:space="0" w:color="auto"/>
            </w:tcBorders>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16</w:t>
            </w:r>
          </w:p>
        </w:tc>
      </w:tr>
      <w:tr w:rsidR="001F3AAC" w:rsidRPr="004F54AE" w:rsidTr="001F3AAC">
        <w:trPr>
          <w:trHeight w:val="153"/>
        </w:trPr>
        <w:tc>
          <w:tcPr>
            <w:tcW w:w="1763"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Internal Processes &amp; quality standards</w:t>
            </w:r>
          </w:p>
        </w:tc>
        <w:tc>
          <w:tcPr>
            <w:tcW w:w="926"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40</w:t>
            </w:r>
          </w:p>
        </w:tc>
        <w:tc>
          <w:tcPr>
            <w:tcW w:w="730"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82</w:t>
            </w:r>
          </w:p>
        </w:tc>
        <w:tc>
          <w:tcPr>
            <w:tcW w:w="877"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9</w:t>
            </w:r>
          </w:p>
        </w:tc>
        <w:tc>
          <w:tcPr>
            <w:tcW w:w="705"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18</w:t>
            </w:r>
          </w:p>
        </w:tc>
      </w:tr>
      <w:tr w:rsidR="001F3AAC" w:rsidRPr="004F54AE" w:rsidTr="001F3AAC">
        <w:trPr>
          <w:trHeight w:val="80"/>
        </w:trPr>
        <w:tc>
          <w:tcPr>
            <w:tcW w:w="1763"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Financial Capability</w:t>
            </w:r>
          </w:p>
        </w:tc>
        <w:tc>
          <w:tcPr>
            <w:tcW w:w="926"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39</w:t>
            </w:r>
          </w:p>
        </w:tc>
        <w:tc>
          <w:tcPr>
            <w:tcW w:w="730"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80</w:t>
            </w:r>
          </w:p>
        </w:tc>
        <w:tc>
          <w:tcPr>
            <w:tcW w:w="877"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10</w:t>
            </w:r>
          </w:p>
        </w:tc>
        <w:tc>
          <w:tcPr>
            <w:tcW w:w="705"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20</w:t>
            </w:r>
          </w:p>
        </w:tc>
      </w:tr>
      <w:tr w:rsidR="001F3AAC" w:rsidRPr="004F54AE" w:rsidTr="001F3AAC">
        <w:trPr>
          <w:trHeight w:val="315"/>
        </w:trPr>
        <w:tc>
          <w:tcPr>
            <w:tcW w:w="1763"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Skills &amp; Competencies</w:t>
            </w:r>
          </w:p>
        </w:tc>
        <w:tc>
          <w:tcPr>
            <w:tcW w:w="926"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33</w:t>
            </w:r>
          </w:p>
        </w:tc>
        <w:tc>
          <w:tcPr>
            <w:tcW w:w="730"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67</w:t>
            </w:r>
          </w:p>
        </w:tc>
        <w:tc>
          <w:tcPr>
            <w:tcW w:w="877"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16</w:t>
            </w:r>
          </w:p>
        </w:tc>
        <w:tc>
          <w:tcPr>
            <w:tcW w:w="705"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35</w:t>
            </w:r>
          </w:p>
        </w:tc>
      </w:tr>
      <w:tr w:rsidR="001F3AAC" w:rsidRPr="004F54AE" w:rsidTr="001F3AAC">
        <w:trPr>
          <w:trHeight w:val="315"/>
        </w:trPr>
        <w:tc>
          <w:tcPr>
            <w:tcW w:w="1763"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Brand Recognition of the Company</w:t>
            </w:r>
          </w:p>
        </w:tc>
        <w:tc>
          <w:tcPr>
            <w:tcW w:w="926"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31</w:t>
            </w:r>
          </w:p>
        </w:tc>
        <w:tc>
          <w:tcPr>
            <w:tcW w:w="730"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63</w:t>
            </w:r>
          </w:p>
        </w:tc>
        <w:tc>
          <w:tcPr>
            <w:tcW w:w="877"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18</w:t>
            </w:r>
          </w:p>
        </w:tc>
        <w:tc>
          <w:tcPr>
            <w:tcW w:w="705"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37</w:t>
            </w:r>
          </w:p>
        </w:tc>
      </w:tr>
    </w:tbl>
    <w:p w:rsidR="0082694E" w:rsidRPr="004F54AE" w:rsidRDefault="00DD5BBC" w:rsidP="007B383D">
      <w:r>
        <w:t xml:space="preserve">From the table </w:t>
      </w:r>
      <w:r w:rsidR="00B1259B">
        <w:t xml:space="preserve">1 </w:t>
      </w:r>
      <w:r>
        <w:t>above, use of strategic partnerships was seen to be a key strategy in building brand image, technical and financial capabilities, internal processes and competencies.</w:t>
      </w:r>
      <w:r w:rsidR="0056752F">
        <w:t xml:space="preserve"> </w:t>
      </w:r>
      <w:r w:rsidR="0082694E" w:rsidRPr="004F54AE">
        <w:t>Th</w:t>
      </w:r>
      <w:r w:rsidR="00881E03">
        <w:t xml:space="preserve">is was reported to have been most effective </w:t>
      </w:r>
      <w:r w:rsidR="0082694E" w:rsidRPr="004F54AE">
        <w:t>in the upstream department. According to the results, majority of the responden</w:t>
      </w:r>
      <w:r w:rsidR="00881E03">
        <w:t>ts indicated that</w:t>
      </w:r>
      <w:r w:rsidR="0082694E" w:rsidRPr="004F54AE">
        <w:t xml:space="preserve"> technological capabilities, internal processes &amp; quality standards, financial capability, skills &amp; competencies and brand recognition of the company had improved the in-house capabilities </w:t>
      </w:r>
      <w:r w:rsidR="00EA0859">
        <w:t xml:space="preserve">particularly </w:t>
      </w:r>
      <w:r w:rsidR="0082694E" w:rsidRPr="004F54AE">
        <w:t xml:space="preserve">in the upstream department as shown by 84%, 82%, 80%, 67% and 63% respectively.  </w:t>
      </w:r>
    </w:p>
    <w:p w:rsidR="0082694E" w:rsidRPr="004F54AE" w:rsidRDefault="0082694E" w:rsidP="007B383D">
      <w:r w:rsidRPr="004F54AE">
        <w:t>The strategic plan a</w:t>
      </w:r>
      <w:r w:rsidR="000D4474">
        <w:t xml:space="preserve">lso </w:t>
      </w:r>
      <w:r w:rsidRPr="004F54AE">
        <w:t xml:space="preserve">confirmed that most of the strategic partnership ventures undertaken by the Corporation had been undertaken during the 2013-2016 strategic plan period. This was evidenced by the dates when contractual agreements formalizing the strategic partnerships </w:t>
      </w:r>
      <w:r w:rsidR="000D4474">
        <w:t>were executed</w:t>
      </w:r>
      <w:r w:rsidRPr="004F54AE">
        <w:t xml:space="preserve">. </w:t>
      </w:r>
    </w:p>
    <w:p w:rsidR="0082694E" w:rsidRPr="00B1259B" w:rsidRDefault="000D4474" w:rsidP="00B1259B">
      <w:pPr>
        <w:pStyle w:val="Heading4"/>
      </w:pPr>
      <w:bookmarkStart w:id="9" w:name="_Toc415645420"/>
      <w:r>
        <w:t xml:space="preserve">Table 2: </w:t>
      </w:r>
      <w:r w:rsidR="0082694E" w:rsidRPr="004F54AE">
        <w:t>Skills Capacity Acquired</w:t>
      </w:r>
      <w:bookmarkEnd w:id="9"/>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811"/>
        <w:gridCol w:w="1797"/>
        <w:gridCol w:w="1712"/>
        <w:gridCol w:w="1621"/>
        <w:gridCol w:w="1301"/>
      </w:tblGrid>
      <w:tr w:rsidR="000A38CA" w:rsidRPr="004F54AE" w:rsidTr="000A38CA">
        <w:trPr>
          <w:trHeight w:val="315"/>
        </w:trPr>
        <w:tc>
          <w:tcPr>
            <w:tcW w:w="1521" w:type="pct"/>
            <w:tcBorders>
              <w:top w:val="single" w:sz="4" w:space="0" w:color="auto"/>
              <w:bottom w:val="single" w:sz="4" w:space="0" w:color="auto"/>
            </w:tcBorders>
            <w:shd w:val="clear" w:color="auto" w:fill="auto"/>
            <w:noWrap/>
            <w:vAlign w:val="bottom"/>
            <w:hideMark/>
          </w:tcPr>
          <w:p w:rsidR="0082694E" w:rsidRPr="00896F7E" w:rsidRDefault="0082694E" w:rsidP="00D4010E">
            <w:pPr>
              <w:spacing w:after="0"/>
              <w:rPr>
                <w:rFonts w:eastAsia="Times New Roman"/>
                <w:color w:val="000000"/>
                <w:szCs w:val="24"/>
              </w:rPr>
            </w:pPr>
          </w:p>
        </w:tc>
        <w:tc>
          <w:tcPr>
            <w:tcW w:w="972" w:type="pct"/>
            <w:tcBorders>
              <w:top w:val="single" w:sz="4" w:space="0" w:color="auto"/>
              <w:bottom w:val="single" w:sz="4" w:space="0" w:color="auto"/>
            </w:tcBorders>
            <w:shd w:val="clear" w:color="auto" w:fill="auto"/>
            <w:noWrap/>
            <w:vAlign w:val="bottom"/>
            <w:hideMark/>
          </w:tcPr>
          <w:p w:rsidR="0082694E" w:rsidRPr="00896F7E" w:rsidRDefault="0082694E" w:rsidP="00D4010E">
            <w:pPr>
              <w:spacing w:after="0"/>
              <w:rPr>
                <w:rFonts w:eastAsia="Times New Roman"/>
                <w:color w:val="000000"/>
                <w:szCs w:val="24"/>
              </w:rPr>
            </w:pPr>
            <w:r w:rsidRPr="00896F7E">
              <w:rPr>
                <w:rFonts w:eastAsia="Times New Roman"/>
                <w:color w:val="000000"/>
                <w:szCs w:val="24"/>
              </w:rPr>
              <w:t>Yes/Frequency</w:t>
            </w:r>
          </w:p>
        </w:tc>
        <w:tc>
          <w:tcPr>
            <w:tcW w:w="926" w:type="pct"/>
            <w:tcBorders>
              <w:top w:val="single" w:sz="4" w:space="0" w:color="auto"/>
              <w:bottom w:val="single" w:sz="4" w:space="0" w:color="auto"/>
            </w:tcBorders>
            <w:shd w:val="clear" w:color="auto" w:fill="auto"/>
            <w:noWrap/>
            <w:vAlign w:val="bottom"/>
            <w:hideMark/>
          </w:tcPr>
          <w:p w:rsidR="0082694E" w:rsidRPr="00896F7E" w:rsidRDefault="0082694E" w:rsidP="00D4010E">
            <w:pPr>
              <w:spacing w:after="0"/>
              <w:rPr>
                <w:rFonts w:eastAsia="Times New Roman"/>
                <w:color w:val="000000"/>
                <w:szCs w:val="24"/>
              </w:rPr>
            </w:pPr>
            <w:r w:rsidRPr="00896F7E">
              <w:rPr>
                <w:rFonts w:eastAsia="Times New Roman"/>
                <w:color w:val="000000"/>
                <w:szCs w:val="24"/>
              </w:rPr>
              <w:t>Percentage (%)</w:t>
            </w:r>
          </w:p>
        </w:tc>
        <w:tc>
          <w:tcPr>
            <w:tcW w:w="877" w:type="pct"/>
            <w:tcBorders>
              <w:top w:val="single" w:sz="4" w:space="0" w:color="auto"/>
              <w:bottom w:val="single" w:sz="4" w:space="0" w:color="auto"/>
            </w:tcBorders>
            <w:shd w:val="clear" w:color="auto" w:fill="auto"/>
            <w:noWrap/>
            <w:vAlign w:val="bottom"/>
            <w:hideMark/>
          </w:tcPr>
          <w:p w:rsidR="0082694E" w:rsidRPr="00896F7E" w:rsidRDefault="0082694E" w:rsidP="00D4010E">
            <w:pPr>
              <w:spacing w:after="0"/>
              <w:rPr>
                <w:rFonts w:eastAsia="Times New Roman"/>
                <w:color w:val="000000"/>
                <w:szCs w:val="24"/>
              </w:rPr>
            </w:pPr>
            <w:r w:rsidRPr="00896F7E">
              <w:rPr>
                <w:rFonts w:eastAsia="Times New Roman"/>
                <w:color w:val="000000"/>
                <w:szCs w:val="24"/>
              </w:rPr>
              <w:t>No/Frequency</w:t>
            </w:r>
          </w:p>
        </w:tc>
        <w:tc>
          <w:tcPr>
            <w:tcW w:w="704" w:type="pct"/>
            <w:tcBorders>
              <w:top w:val="single" w:sz="4" w:space="0" w:color="auto"/>
              <w:bottom w:val="single" w:sz="4" w:space="0" w:color="auto"/>
            </w:tcBorders>
            <w:shd w:val="clear" w:color="auto" w:fill="auto"/>
            <w:noWrap/>
            <w:vAlign w:val="bottom"/>
            <w:hideMark/>
          </w:tcPr>
          <w:p w:rsidR="0082694E" w:rsidRPr="00896F7E" w:rsidRDefault="0082694E" w:rsidP="00D4010E">
            <w:pPr>
              <w:spacing w:after="0"/>
              <w:rPr>
                <w:rFonts w:eastAsia="Times New Roman"/>
                <w:color w:val="000000"/>
                <w:szCs w:val="24"/>
              </w:rPr>
            </w:pPr>
            <w:r w:rsidRPr="00896F7E">
              <w:rPr>
                <w:rFonts w:eastAsia="Times New Roman"/>
                <w:color w:val="000000"/>
                <w:szCs w:val="24"/>
              </w:rPr>
              <w:t>Percentage (%)</w:t>
            </w:r>
          </w:p>
        </w:tc>
      </w:tr>
      <w:tr w:rsidR="000A38CA" w:rsidRPr="004F54AE" w:rsidTr="000A38CA">
        <w:trPr>
          <w:trHeight w:val="315"/>
        </w:trPr>
        <w:tc>
          <w:tcPr>
            <w:tcW w:w="1521" w:type="pct"/>
            <w:tcBorders>
              <w:top w:val="single" w:sz="4" w:space="0" w:color="auto"/>
            </w:tcBorders>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Certified academic skills</w:t>
            </w:r>
          </w:p>
        </w:tc>
        <w:tc>
          <w:tcPr>
            <w:tcW w:w="972" w:type="pct"/>
            <w:tcBorders>
              <w:top w:val="single" w:sz="4" w:space="0" w:color="auto"/>
            </w:tcBorders>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38</w:t>
            </w:r>
          </w:p>
        </w:tc>
        <w:tc>
          <w:tcPr>
            <w:tcW w:w="926" w:type="pct"/>
            <w:tcBorders>
              <w:top w:val="single" w:sz="4" w:space="0" w:color="auto"/>
            </w:tcBorders>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78</w:t>
            </w:r>
          </w:p>
        </w:tc>
        <w:tc>
          <w:tcPr>
            <w:tcW w:w="877" w:type="pct"/>
            <w:tcBorders>
              <w:top w:val="single" w:sz="4" w:space="0" w:color="auto"/>
            </w:tcBorders>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11</w:t>
            </w:r>
          </w:p>
        </w:tc>
        <w:tc>
          <w:tcPr>
            <w:tcW w:w="704" w:type="pct"/>
            <w:tcBorders>
              <w:top w:val="single" w:sz="4" w:space="0" w:color="auto"/>
            </w:tcBorders>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22</w:t>
            </w:r>
          </w:p>
        </w:tc>
      </w:tr>
      <w:tr w:rsidR="000A38CA" w:rsidRPr="004F54AE" w:rsidTr="000A38CA">
        <w:trPr>
          <w:trHeight w:val="315"/>
        </w:trPr>
        <w:tc>
          <w:tcPr>
            <w:tcW w:w="1521"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 xml:space="preserve">Additional practical skills </w:t>
            </w:r>
          </w:p>
        </w:tc>
        <w:tc>
          <w:tcPr>
            <w:tcW w:w="972"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43</w:t>
            </w:r>
          </w:p>
        </w:tc>
        <w:tc>
          <w:tcPr>
            <w:tcW w:w="926"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88</w:t>
            </w:r>
          </w:p>
        </w:tc>
        <w:tc>
          <w:tcPr>
            <w:tcW w:w="877"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6</w:t>
            </w:r>
          </w:p>
        </w:tc>
        <w:tc>
          <w:tcPr>
            <w:tcW w:w="704"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12</w:t>
            </w:r>
          </w:p>
        </w:tc>
      </w:tr>
      <w:tr w:rsidR="000A38CA" w:rsidRPr="004F54AE" w:rsidTr="000A38CA">
        <w:trPr>
          <w:trHeight w:val="315"/>
        </w:trPr>
        <w:tc>
          <w:tcPr>
            <w:tcW w:w="1521"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Industry Exposure</w:t>
            </w:r>
          </w:p>
        </w:tc>
        <w:tc>
          <w:tcPr>
            <w:tcW w:w="972"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41</w:t>
            </w:r>
          </w:p>
        </w:tc>
        <w:tc>
          <w:tcPr>
            <w:tcW w:w="926"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84</w:t>
            </w:r>
          </w:p>
        </w:tc>
        <w:tc>
          <w:tcPr>
            <w:tcW w:w="877"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8</w:t>
            </w:r>
          </w:p>
        </w:tc>
        <w:tc>
          <w:tcPr>
            <w:tcW w:w="704" w:type="pct"/>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16</w:t>
            </w:r>
          </w:p>
        </w:tc>
      </w:tr>
    </w:tbl>
    <w:p w:rsidR="0082694E" w:rsidRPr="004F54AE" w:rsidRDefault="0082694E" w:rsidP="007B383D">
      <w:pPr>
        <w:rPr>
          <w:szCs w:val="24"/>
        </w:rPr>
      </w:pPr>
      <w:r w:rsidRPr="004F54AE">
        <w:rPr>
          <w:szCs w:val="24"/>
        </w:rPr>
        <w:lastRenderedPageBreak/>
        <w:t xml:space="preserve">The table above depicts the benefits </w:t>
      </w:r>
      <w:r w:rsidR="000D4474">
        <w:rPr>
          <w:szCs w:val="24"/>
        </w:rPr>
        <w:t xml:space="preserve">that </w:t>
      </w:r>
      <w:r w:rsidRPr="004F54AE">
        <w:rPr>
          <w:szCs w:val="24"/>
        </w:rPr>
        <w:t>respondent</w:t>
      </w:r>
      <w:r w:rsidR="000D4474">
        <w:rPr>
          <w:szCs w:val="24"/>
        </w:rPr>
        <w:t>s individually</w:t>
      </w:r>
      <w:r w:rsidRPr="004F54AE">
        <w:rPr>
          <w:szCs w:val="24"/>
        </w:rPr>
        <w:t xml:space="preserve"> acquired from engagement in strategic partnership ventures. According to the study a majority of 88% of the respondents personally acquired additional practical skills by engaging in strategic partnership ventures </w:t>
      </w:r>
      <w:r w:rsidR="000D4474">
        <w:rPr>
          <w:szCs w:val="24"/>
        </w:rPr>
        <w:t>,</w:t>
      </w:r>
      <w:r w:rsidRPr="004F54AE">
        <w:rPr>
          <w:szCs w:val="24"/>
        </w:rPr>
        <w:t xml:space="preserve">84% of the respondents acquired </w:t>
      </w:r>
      <w:r w:rsidRPr="004F54AE">
        <w:rPr>
          <w:rFonts w:eastAsia="Times New Roman"/>
          <w:color w:val="000000"/>
          <w:szCs w:val="24"/>
        </w:rPr>
        <w:t>industry exposure</w:t>
      </w:r>
      <w:r w:rsidRPr="004F54AE">
        <w:rPr>
          <w:szCs w:val="24"/>
        </w:rPr>
        <w:t xml:space="preserve"> while 78% of the respondents acquired </w:t>
      </w:r>
      <w:r w:rsidRPr="004F54AE">
        <w:rPr>
          <w:rFonts w:eastAsia="Times New Roman"/>
          <w:color w:val="000000"/>
          <w:szCs w:val="24"/>
        </w:rPr>
        <w:t>certified academic skills</w:t>
      </w:r>
      <w:r w:rsidRPr="004F54AE">
        <w:rPr>
          <w:szCs w:val="24"/>
        </w:rPr>
        <w:t xml:space="preserve"> from engagement in strategic partnerships.</w:t>
      </w:r>
    </w:p>
    <w:p w:rsidR="00EA0859" w:rsidRPr="00EA0859" w:rsidRDefault="00EA0859" w:rsidP="00EA0859">
      <w:bookmarkStart w:id="10" w:name="_Toc415645421"/>
    </w:p>
    <w:p w:rsidR="0082694E" w:rsidRPr="004F54AE" w:rsidRDefault="0082694E" w:rsidP="00D4010E">
      <w:pPr>
        <w:pStyle w:val="Subtitle"/>
        <w:jc w:val="both"/>
        <w:rPr>
          <w:rFonts w:ascii="Times New Roman" w:hAnsi="Times New Roman"/>
        </w:rPr>
      </w:pPr>
      <w:r w:rsidRPr="004F54AE">
        <w:rPr>
          <w:rFonts w:ascii="Times New Roman" w:hAnsi="Times New Roman"/>
        </w:rPr>
        <w:t>Operational Efficiency &amp; Brand Exposure</w:t>
      </w:r>
      <w:bookmarkEnd w:id="10"/>
    </w:p>
    <w:p w:rsidR="0082694E" w:rsidRPr="00B1259B" w:rsidRDefault="0082694E" w:rsidP="00B1259B">
      <w:pPr>
        <w:pStyle w:val="Heading4"/>
      </w:pPr>
      <w:bookmarkStart w:id="11" w:name="_Toc415641734"/>
      <w:bookmarkStart w:id="12" w:name="_Toc415641811"/>
      <w:bookmarkStart w:id="13" w:name="_Toc415642084"/>
      <w:r>
        <w:t xml:space="preserve">Table </w:t>
      </w:r>
      <w:r w:rsidR="000D4474">
        <w:t>3</w:t>
      </w:r>
      <w:r w:rsidRPr="004F54AE">
        <w:t xml:space="preserve">: </w:t>
      </w:r>
      <w:r>
        <w:t xml:space="preserve">Financial </w:t>
      </w:r>
      <w:r w:rsidRPr="00034CD6">
        <w:t>Capacity</w:t>
      </w:r>
      <w:bookmarkEnd w:id="11"/>
      <w:bookmarkEnd w:id="12"/>
      <w:bookmarkEnd w:id="13"/>
      <w:r>
        <w:t>&amp; Brand Exposure</w:t>
      </w:r>
    </w:p>
    <w:tbl>
      <w:tblPr>
        <w:tblW w:w="5000" w:type="pct"/>
        <w:tblLayout w:type="fixed"/>
        <w:tblLook w:val="04A0" w:firstRow="1" w:lastRow="0" w:firstColumn="1" w:lastColumn="0" w:noHBand="0" w:noVBand="1"/>
      </w:tblPr>
      <w:tblGrid>
        <w:gridCol w:w="3263"/>
        <w:gridCol w:w="1074"/>
        <w:gridCol w:w="810"/>
        <w:gridCol w:w="993"/>
        <w:gridCol w:w="725"/>
        <w:gridCol w:w="1074"/>
        <w:gridCol w:w="1303"/>
      </w:tblGrid>
      <w:tr w:rsidR="00F73EFA" w:rsidRPr="004F4329" w:rsidTr="000E468D">
        <w:trPr>
          <w:trHeight w:val="300"/>
        </w:trPr>
        <w:tc>
          <w:tcPr>
            <w:tcW w:w="1766" w:type="pct"/>
            <w:tcBorders>
              <w:top w:val="single" w:sz="4" w:space="0" w:color="auto"/>
              <w:left w:val="nil"/>
              <w:bottom w:val="single" w:sz="4" w:space="0" w:color="auto"/>
              <w:right w:val="nil"/>
            </w:tcBorders>
            <w:shd w:val="clear" w:color="auto" w:fill="auto"/>
            <w:noWrap/>
            <w:vAlign w:val="bottom"/>
            <w:hideMark/>
          </w:tcPr>
          <w:p w:rsidR="004F4329" w:rsidRPr="000E468D" w:rsidRDefault="004F4329" w:rsidP="004F4329">
            <w:pPr>
              <w:spacing w:before="0" w:after="0"/>
              <w:jc w:val="left"/>
              <w:rPr>
                <w:rFonts w:eastAsia="Times New Roman"/>
                <w:bCs/>
                <w:color w:val="000000"/>
                <w:szCs w:val="24"/>
              </w:rPr>
            </w:pPr>
            <w:r w:rsidRPr="000E468D">
              <w:rPr>
                <w:rFonts w:eastAsia="Times New Roman"/>
                <w:bCs/>
                <w:color w:val="000000"/>
                <w:szCs w:val="24"/>
              </w:rPr>
              <w:t> </w:t>
            </w:r>
          </w:p>
        </w:tc>
        <w:tc>
          <w:tcPr>
            <w:tcW w:w="581" w:type="pct"/>
            <w:tcBorders>
              <w:top w:val="single" w:sz="4" w:space="0" w:color="auto"/>
              <w:left w:val="nil"/>
              <w:bottom w:val="single" w:sz="4" w:space="0" w:color="auto"/>
              <w:right w:val="nil"/>
            </w:tcBorders>
            <w:shd w:val="clear" w:color="auto" w:fill="auto"/>
            <w:noWrap/>
            <w:vAlign w:val="bottom"/>
            <w:hideMark/>
          </w:tcPr>
          <w:p w:rsidR="004F4329" w:rsidRPr="000E468D" w:rsidRDefault="004F4329" w:rsidP="004F4329">
            <w:pPr>
              <w:spacing w:before="0" w:after="0"/>
              <w:jc w:val="left"/>
              <w:rPr>
                <w:rFonts w:eastAsia="Times New Roman"/>
                <w:bCs/>
                <w:color w:val="000000"/>
                <w:szCs w:val="24"/>
              </w:rPr>
            </w:pPr>
            <w:r w:rsidRPr="000E468D">
              <w:rPr>
                <w:rFonts w:eastAsia="Times New Roman"/>
                <w:bCs/>
                <w:color w:val="000000"/>
                <w:szCs w:val="24"/>
              </w:rPr>
              <w:t>Strongly Agree (%)</w:t>
            </w:r>
          </w:p>
        </w:tc>
        <w:tc>
          <w:tcPr>
            <w:tcW w:w="438" w:type="pct"/>
            <w:tcBorders>
              <w:top w:val="single" w:sz="4" w:space="0" w:color="auto"/>
              <w:left w:val="nil"/>
              <w:bottom w:val="single" w:sz="4" w:space="0" w:color="auto"/>
              <w:right w:val="nil"/>
            </w:tcBorders>
            <w:shd w:val="clear" w:color="auto" w:fill="auto"/>
            <w:noWrap/>
            <w:vAlign w:val="bottom"/>
            <w:hideMark/>
          </w:tcPr>
          <w:p w:rsidR="004F4329" w:rsidRPr="000E468D" w:rsidRDefault="004F4329" w:rsidP="004F4329">
            <w:pPr>
              <w:spacing w:before="0" w:after="0"/>
              <w:jc w:val="left"/>
              <w:rPr>
                <w:rFonts w:eastAsia="Times New Roman"/>
                <w:bCs/>
                <w:color w:val="000000"/>
                <w:szCs w:val="24"/>
              </w:rPr>
            </w:pPr>
            <w:r w:rsidRPr="000E468D">
              <w:rPr>
                <w:rFonts w:eastAsia="Times New Roman"/>
                <w:bCs/>
                <w:color w:val="000000"/>
                <w:szCs w:val="24"/>
              </w:rPr>
              <w:t>Agree (%)</w:t>
            </w:r>
          </w:p>
        </w:tc>
        <w:tc>
          <w:tcPr>
            <w:tcW w:w="537" w:type="pct"/>
            <w:tcBorders>
              <w:top w:val="single" w:sz="4" w:space="0" w:color="auto"/>
              <w:left w:val="nil"/>
              <w:bottom w:val="single" w:sz="4" w:space="0" w:color="auto"/>
              <w:right w:val="nil"/>
            </w:tcBorders>
            <w:shd w:val="clear" w:color="auto" w:fill="auto"/>
            <w:noWrap/>
            <w:vAlign w:val="bottom"/>
            <w:hideMark/>
          </w:tcPr>
          <w:p w:rsidR="004F4329" w:rsidRPr="000E468D" w:rsidRDefault="004F4329" w:rsidP="004F4329">
            <w:pPr>
              <w:spacing w:before="0" w:after="0"/>
              <w:jc w:val="left"/>
              <w:rPr>
                <w:rFonts w:eastAsia="Times New Roman"/>
                <w:bCs/>
                <w:color w:val="000000"/>
                <w:szCs w:val="24"/>
              </w:rPr>
            </w:pPr>
            <w:r w:rsidRPr="000E468D">
              <w:rPr>
                <w:rFonts w:eastAsia="Times New Roman"/>
                <w:bCs/>
                <w:color w:val="000000"/>
                <w:szCs w:val="24"/>
              </w:rPr>
              <w:t>Unsure (%)</w:t>
            </w:r>
          </w:p>
        </w:tc>
        <w:tc>
          <w:tcPr>
            <w:tcW w:w="392" w:type="pct"/>
            <w:tcBorders>
              <w:top w:val="single" w:sz="4" w:space="0" w:color="auto"/>
              <w:left w:val="nil"/>
              <w:bottom w:val="single" w:sz="4" w:space="0" w:color="auto"/>
              <w:right w:val="nil"/>
            </w:tcBorders>
            <w:shd w:val="clear" w:color="auto" w:fill="auto"/>
            <w:noWrap/>
            <w:vAlign w:val="bottom"/>
            <w:hideMark/>
          </w:tcPr>
          <w:p w:rsidR="004F4329" w:rsidRPr="000E468D" w:rsidRDefault="004F4329" w:rsidP="004F4329">
            <w:pPr>
              <w:spacing w:before="0" w:after="0"/>
              <w:jc w:val="left"/>
              <w:rPr>
                <w:rFonts w:eastAsia="Times New Roman"/>
                <w:bCs/>
                <w:color w:val="000000"/>
                <w:szCs w:val="24"/>
              </w:rPr>
            </w:pPr>
            <w:r w:rsidRPr="000E468D">
              <w:rPr>
                <w:rFonts w:eastAsia="Times New Roman"/>
                <w:bCs/>
                <w:color w:val="000000"/>
                <w:szCs w:val="24"/>
              </w:rPr>
              <w:t>Disagree (%)</w:t>
            </w:r>
          </w:p>
        </w:tc>
        <w:tc>
          <w:tcPr>
            <w:tcW w:w="581" w:type="pct"/>
            <w:tcBorders>
              <w:top w:val="single" w:sz="4" w:space="0" w:color="auto"/>
              <w:left w:val="nil"/>
              <w:bottom w:val="single" w:sz="4" w:space="0" w:color="auto"/>
              <w:right w:val="nil"/>
            </w:tcBorders>
            <w:shd w:val="clear" w:color="auto" w:fill="auto"/>
            <w:noWrap/>
            <w:vAlign w:val="bottom"/>
            <w:hideMark/>
          </w:tcPr>
          <w:p w:rsidR="004F4329" w:rsidRPr="000E468D" w:rsidRDefault="004F4329" w:rsidP="004F4329">
            <w:pPr>
              <w:spacing w:before="0" w:after="0"/>
              <w:jc w:val="left"/>
              <w:rPr>
                <w:rFonts w:eastAsia="Times New Roman"/>
                <w:bCs/>
                <w:color w:val="000000"/>
                <w:szCs w:val="24"/>
              </w:rPr>
            </w:pPr>
            <w:r w:rsidRPr="000E468D">
              <w:rPr>
                <w:rFonts w:eastAsia="Times New Roman"/>
                <w:bCs/>
                <w:color w:val="000000"/>
                <w:szCs w:val="24"/>
              </w:rPr>
              <w:t>Strongly Disagree (%)</w:t>
            </w:r>
          </w:p>
        </w:tc>
        <w:tc>
          <w:tcPr>
            <w:tcW w:w="705" w:type="pct"/>
            <w:tcBorders>
              <w:top w:val="single" w:sz="4" w:space="0" w:color="auto"/>
              <w:left w:val="nil"/>
              <w:bottom w:val="single" w:sz="4" w:space="0" w:color="auto"/>
              <w:right w:val="nil"/>
            </w:tcBorders>
            <w:shd w:val="clear" w:color="auto" w:fill="auto"/>
            <w:noWrap/>
            <w:vAlign w:val="bottom"/>
            <w:hideMark/>
          </w:tcPr>
          <w:p w:rsidR="004F4329" w:rsidRPr="000E468D" w:rsidRDefault="004F4329" w:rsidP="004F4329">
            <w:pPr>
              <w:spacing w:before="0" w:after="0"/>
              <w:jc w:val="left"/>
              <w:rPr>
                <w:rFonts w:ascii="Calibri" w:eastAsia="Times New Roman" w:hAnsi="Calibri" w:cs="Calibri"/>
                <w:bCs/>
                <w:color w:val="000000"/>
                <w:sz w:val="22"/>
              </w:rPr>
            </w:pPr>
            <w:r w:rsidRPr="000E468D">
              <w:rPr>
                <w:rFonts w:ascii="Calibri" w:eastAsia="Times New Roman" w:hAnsi="Calibri" w:cs="Calibri"/>
                <w:bCs/>
                <w:color w:val="000000"/>
                <w:sz w:val="22"/>
              </w:rPr>
              <w:t>Total Percentage %</w:t>
            </w:r>
          </w:p>
        </w:tc>
      </w:tr>
      <w:tr w:rsidR="00F73EFA" w:rsidRPr="004F4329" w:rsidTr="000E468D">
        <w:trPr>
          <w:trHeight w:val="300"/>
        </w:trPr>
        <w:tc>
          <w:tcPr>
            <w:tcW w:w="1766"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left"/>
              <w:rPr>
                <w:rFonts w:eastAsia="Times New Roman"/>
                <w:color w:val="000000"/>
                <w:szCs w:val="24"/>
              </w:rPr>
            </w:pPr>
            <w:r w:rsidRPr="000E468D">
              <w:rPr>
                <w:rFonts w:eastAsia="Times New Roman"/>
                <w:color w:val="000000"/>
                <w:szCs w:val="24"/>
              </w:rPr>
              <w:t>Increase operational efficiency</w:t>
            </w:r>
          </w:p>
        </w:tc>
        <w:tc>
          <w:tcPr>
            <w:tcW w:w="581"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18</w:t>
            </w:r>
          </w:p>
        </w:tc>
        <w:tc>
          <w:tcPr>
            <w:tcW w:w="438"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70</w:t>
            </w:r>
          </w:p>
        </w:tc>
        <w:tc>
          <w:tcPr>
            <w:tcW w:w="537"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7</w:t>
            </w:r>
          </w:p>
        </w:tc>
        <w:tc>
          <w:tcPr>
            <w:tcW w:w="392"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3</w:t>
            </w:r>
          </w:p>
        </w:tc>
        <w:tc>
          <w:tcPr>
            <w:tcW w:w="581"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2</w:t>
            </w:r>
          </w:p>
        </w:tc>
        <w:tc>
          <w:tcPr>
            <w:tcW w:w="705" w:type="pct"/>
            <w:tcBorders>
              <w:top w:val="nil"/>
              <w:left w:val="nil"/>
              <w:bottom w:val="nil"/>
              <w:right w:val="nil"/>
            </w:tcBorders>
            <w:shd w:val="clear" w:color="auto" w:fill="auto"/>
            <w:noWrap/>
            <w:vAlign w:val="bottom"/>
            <w:hideMark/>
          </w:tcPr>
          <w:p w:rsidR="004F4329" w:rsidRPr="004F4329" w:rsidRDefault="004F4329" w:rsidP="004F4329">
            <w:pPr>
              <w:spacing w:before="0" w:after="0"/>
              <w:jc w:val="right"/>
              <w:rPr>
                <w:rFonts w:ascii="Calibri" w:eastAsia="Times New Roman" w:hAnsi="Calibri" w:cs="Calibri"/>
                <w:color w:val="000000"/>
                <w:sz w:val="22"/>
              </w:rPr>
            </w:pPr>
            <w:r w:rsidRPr="004F4329">
              <w:rPr>
                <w:rFonts w:ascii="Calibri" w:eastAsia="Times New Roman" w:hAnsi="Calibri" w:cs="Calibri"/>
                <w:color w:val="000000"/>
                <w:sz w:val="22"/>
              </w:rPr>
              <w:t>100</w:t>
            </w:r>
          </w:p>
        </w:tc>
      </w:tr>
      <w:tr w:rsidR="00F73EFA" w:rsidRPr="004F4329" w:rsidTr="000E468D">
        <w:trPr>
          <w:trHeight w:val="300"/>
        </w:trPr>
        <w:tc>
          <w:tcPr>
            <w:tcW w:w="1766"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left"/>
              <w:rPr>
                <w:rFonts w:eastAsia="Times New Roman"/>
                <w:color w:val="000000"/>
                <w:szCs w:val="24"/>
              </w:rPr>
            </w:pPr>
            <w:r w:rsidRPr="000E468D">
              <w:rPr>
                <w:rFonts w:eastAsia="Times New Roman"/>
                <w:color w:val="000000"/>
                <w:szCs w:val="24"/>
              </w:rPr>
              <w:t>Increase exposure and global recognition</w:t>
            </w:r>
          </w:p>
        </w:tc>
        <w:tc>
          <w:tcPr>
            <w:tcW w:w="581"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30</w:t>
            </w:r>
          </w:p>
        </w:tc>
        <w:tc>
          <w:tcPr>
            <w:tcW w:w="438"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69</w:t>
            </w:r>
          </w:p>
        </w:tc>
        <w:tc>
          <w:tcPr>
            <w:tcW w:w="537"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1</w:t>
            </w:r>
          </w:p>
        </w:tc>
        <w:tc>
          <w:tcPr>
            <w:tcW w:w="392"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0</w:t>
            </w:r>
          </w:p>
        </w:tc>
        <w:tc>
          <w:tcPr>
            <w:tcW w:w="581"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0</w:t>
            </w:r>
          </w:p>
        </w:tc>
        <w:tc>
          <w:tcPr>
            <w:tcW w:w="705" w:type="pct"/>
            <w:tcBorders>
              <w:top w:val="nil"/>
              <w:left w:val="nil"/>
              <w:bottom w:val="nil"/>
              <w:right w:val="nil"/>
            </w:tcBorders>
            <w:shd w:val="clear" w:color="auto" w:fill="auto"/>
            <w:noWrap/>
            <w:vAlign w:val="bottom"/>
            <w:hideMark/>
          </w:tcPr>
          <w:p w:rsidR="004F4329" w:rsidRPr="004F4329" w:rsidRDefault="004F4329" w:rsidP="004F4329">
            <w:pPr>
              <w:spacing w:before="0" w:after="0"/>
              <w:jc w:val="right"/>
              <w:rPr>
                <w:rFonts w:ascii="Calibri" w:eastAsia="Times New Roman" w:hAnsi="Calibri" w:cs="Calibri"/>
                <w:color w:val="000000"/>
                <w:sz w:val="22"/>
              </w:rPr>
            </w:pPr>
            <w:r w:rsidRPr="004F4329">
              <w:rPr>
                <w:rFonts w:ascii="Calibri" w:eastAsia="Times New Roman" w:hAnsi="Calibri" w:cs="Calibri"/>
                <w:color w:val="000000"/>
                <w:sz w:val="22"/>
              </w:rPr>
              <w:t>100</w:t>
            </w:r>
          </w:p>
        </w:tc>
      </w:tr>
      <w:tr w:rsidR="00F73EFA" w:rsidRPr="004F4329" w:rsidTr="000E468D">
        <w:trPr>
          <w:trHeight w:val="300"/>
        </w:trPr>
        <w:tc>
          <w:tcPr>
            <w:tcW w:w="1766"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left"/>
              <w:rPr>
                <w:rFonts w:eastAsia="Times New Roman"/>
                <w:color w:val="000000"/>
                <w:szCs w:val="24"/>
              </w:rPr>
            </w:pPr>
            <w:r w:rsidRPr="000E468D">
              <w:rPr>
                <w:rFonts w:eastAsia="Times New Roman"/>
                <w:color w:val="000000"/>
                <w:szCs w:val="24"/>
              </w:rPr>
              <w:t>Make National Oil vulnerable to manipulation by more experienced companies?</w:t>
            </w:r>
          </w:p>
        </w:tc>
        <w:tc>
          <w:tcPr>
            <w:tcW w:w="581"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59</w:t>
            </w:r>
          </w:p>
        </w:tc>
        <w:tc>
          <w:tcPr>
            <w:tcW w:w="438"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25</w:t>
            </w:r>
          </w:p>
        </w:tc>
        <w:tc>
          <w:tcPr>
            <w:tcW w:w="537"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9</w:t>
            </w:r>
          </w:p>
        </w:tc>
        <w:tc>
          <w:tcPr>
            <w:tcW w:w="392"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6</w:t>
            </w:r>
          </w:p>
        </w:tc>
        <w:tc>
          <w:tcPr>
            <w:tcW w:w="581" w:type="pct"/>
            <w:tcBorders>
              <w:top w:val="nil"/>
              <w:left w:val="nil"/>
              <w:bottom w:val="nil"/>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1</w:t>
            </w:r>
          </w:p>
        </w:tc>
        <w:tc>
          <w:tcPr>
            <w:tcW w:w="705" w:type="pct"/>
            <w:tcBorders>
              <w:top w:val="nil"/>
              <w:left w:val="nil"/>
              <w:bottom w:val="nil"/>
              <w:right w:val="nil"/>
            </w:tcBorders>
            <w:shd w:val="clear" w:color="auto" w:fill="auto"/>
            <w:noWrap/>
            <w:vAlign w:val="bottom"/>
            <w:hideMark/>
          </w:tcPr>
          <w:p w:rsidR="004F4329" w:rsidRPr="004F4329" w:rsidRDefault="004F4329" w:rsidP="004F4329">
            <w:pPr>
              <w:spacing w:before="0" w:after="0"/>
              <w:jc w:val="right"/>
              <w:rPr>
                <w:rFonts w:ascii="Calibri" w:eastAsia="Times New Roman" w:hAnsi="Calibri" w:cs="Calibri"/>
                <w:color w:val="000000"/>
                <w:sz w:val="22"/>
              </w:rPr>
            </w:pPr>
            <w:r w:rsidRPr="004F4329">
              <w:rPr>
                <w:rFonts w:ascii="Calibri" w:eastAsia="Times New Roman" w:hAnsi="Calibri" w:cs="Calibri"/>
                <w:color w:val="000000"/>
                <w:sz w:val="22"/>
              </w:rPr>
              <w:t>100</w:t>
            </w:r>
          </w:p>
        </w:tc>
      </w:tr>
      <w:tr w:rsidR="00F73EFA" w:rsidRPr="004F4329" w:rsidTr="000E468D">
        <w:trPr>
          <w:trHeight w:val="300"/>
        </w:trPr>
        <w:tc>
          <w:tcPr>
            <w:tcW w:w="1766" w:type="pct"/>
            <w:tcBorders>
              <w:top w:val="nil"/>
              <w:left w:val="nil"/>
              <w:bottom w:val="single" w:sz="4" w:space="0" w:color="auto"/>
              <w:right w:val="nil"/>
            </w:tcBorders>
            <w:shd w:val="clear" w:color="auto" w:fill="auto"/>
            <w:noWrap/>
            <w:vAlign w:val="bottom"/>
            <w:hideMark/>
          </w:tcPr>
          <w:p w:rsidR="004F4329" w:rsidRPr="000E468D" w:rsidRDefault="004F4329" w:rsidP="004F4329">
            <w:pPr>
              <w:spacing w:before="0" w:after="0"/>
              <w:jc w:val="left"/>
              <w:rPr>
                <w:rFonts w:eastAsia="Times New Roman"/>
                <w:color w:val="000000"/>
                <w:szCs w:val="24"/>
              </w:rPr>
            </w:pPr>
            <w:r w:rsidRPr="000E468D">
              <w:rPr>
                <w:rFonts w:eastAsia="Times New Roman"/>
                <w:color w:val="000000"/>
                <w:szCs w:val="24"/>
              </w:rPr>
              <w:t>Enhance National Oil's financial capacity to undertake capital intensive projects?</w:t>
            </w:r>
          </w:p>
        </w:tc>
        <w:tc>
          <w:tcPr>
            <w:tcW w:w="581" w:type="pct"/>
            <w:tcBorders>
              <w:top w:val="nil"/>
              <w:left w:val="nil"/>
              <w:bottom w:val="single" w:sz="4" w:space="0" w:color="auto"/>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26</w:t>
            </w:r>
          </w:p>
        </w:tc>
        <w:tc>
          <w:tcPr>
            <w:tcW w:w="438" w:type="pct"/>
            <w:tcBorders>
              <w:top w:val="nil"/>
              <w:left w:val="nil"/>
              <w:bottom w:val="single" w:sz="4" w:space="0" w:color="auto"/>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54</w:t>
            </w:r>
          </w:p>
        </w:tc>
        <w:tc>
          <w:tcPr>
            <w:tcW w:w="537" w:type="pct"/>
            <w:tcBorders>
              <w:top w:val="nil"/>
              <w:left w:val="nil"/>
              <w:bottom w:val="single" w:sz="4" w:space="0" w:color="auto"/>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14</w:t>
            </w:r>
          </w:p>
        </w:tc>
        <w:tc>
          <w:tcPr>
            <w:tcW w:w="392" w:type="pct"/>
            <w:tcBorders>
              <w:top w:val="nil"/>
              <w:left w:val="nil"/>
              <w:bottom w:val="single" w:sz="4" w:space="0" w:color="auto"/>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3</w:t>
            </w:r>
          </w:p>
        </w:tc>
        <w:tc>
          <w:tcPr>
            <w:tcW w:w="581" w:type="pct"/>
            <w:tcBorders>
              <w:top w:val="nil"/>
              <w:left w:val="nil"/>
              <w:bottom w:val="single" w:sz="4" w:space="0" w:color="auto"/>
              <w:right w:val="nil"/>
            </w:tcBorders>
            <w:shd w:val="clear" w:color="auto" w:fill="auto"/>
            <w:noWrap/>
            <w:vAlign w:val="bottom"/>
            <w:hideMark/>
          </w:tcPr>
          <w:p w:rsidR="004F4329" w:rsidRPr="000E468D" w:rsidRDefault="004F4329" w:rsidP="004F4329">
            <w:pPr>
              <w:spacing w:before="0" w:after="0"/>
              <w:jc w:val="right"/>
              <w:rPr>
                <w:rFonts w:eastAsia="Times New Roman"/>
                <w:color w:val="000000"/>
                <w:szCs w:val="24"/>
              </w:rPr>
            </w:pPr>
            <w:r w:rsidRPr="000E468D">
              <w:rPr>
                <w:rFonts w:eastAsia="Times New Roman"/>
                <w:color w:val="000000"/>
                <w:szCs w:val="24"/>
              </w:rPr>
              <w:t>3</w:t>
            </w:r>
          </w:p>
        </w:tc>
        <w:tc>
          <w:tcPr>
            <w:tcW w:w="705" w:type="pct"/>
            <w:tcBorders>
              <w:top w:val="nil"/>
              <w:left w:val="nil"/>
              <w:bottom w:val="single" w:sz="4" w:space="0" w:color="auto"/>
              <w:right w:val="nil"/>
            </w:tcBorders>
            <w:shd w:val="clear" w:color="auto" w:fill="auto"/>
            <w:noWrap/>
            <w:vAlign w:val="bottom"/>
            <w:hideMark/>
          </w:tcPr>
          <w:p w:rsidR="004F4329" w:rsidRPr="004F4329" w:rsidRDefault="004F4329" w:rsidP="004F4329">
            <w:pPr>
              <w:spacing w:before="0" w:after="0"/>
              <w:jc w:val="right"/>
              <w:rPr>
                <w:rFonts w:ascii="Calibri" w:eastAsia="Times New Roman" w:hAnsi="Calibri" w:cs="Calibri"/>
                <w:color w:val="000000"/>
                <w:sz w:val="22"/>
              </w:rPr>
            </w:pPr>
            <w:r w:rsidRPr="004F4329">
              <w:rPr>
                <w:rFonts w:ascii="Calibri" w:eastAsia="Times New Roman" w:hAnsi="Calibri" w:cs="Calibri"/>
                <w:color w:val="000000"/>
                <w:sz w:val="22"/>
              </w:rPr>
              <w:t>100</w:t>
            </w:r>
          </w:p>
        </w:tc>
      </w:tr>
    </w:tbl>
    <w:p w:rsidR="004F4329" w:rsidRDefault="004F4329" w:rsidP="007B383D">
      <w:pPr>
        <w:rPr>
          <w:szCs w:val="24"/>
        </w:rPr>
      </w:pPr>
    </w:p>
    <w:p w:rsidR="00B1259B" w:rsidRDefault="0082694E" w:rsidP="007B383D">
      <w:pPr>
        <w:rPr>
          <w:color w:val="FF0000"/>
          <w:szCs w:val="24"/>
          <w:lang w:val="en-GB"/>
        </w:rPr>
      </w:pPr>
      <w:r w:rsidRPr="004F54AE">
        <w:rPr>
          <w:szCs w:val="24"/>
        </w:rPr>
        <w:t xml:space="preserve">The research </w:t>
      </w:r>
      <w:r w:rsidR="000D4474">
        <w:rPr>
          <w:szCs w:val="24"/>
        </w:rPr>
        <w:t xml:space="preserve">also </w:t>
      </w:r>
      <w:r w:rsidRPr="004F54AE">
        <w:rPr>
          <w:szCs w:val="24"/>
        </w:rPr>
        <w:t>establish</w:t>
      </w:r>
      <w:r w:rsidR="000D4474">
        <w:rPr>
          <w:szCs w:val="24"/>
        </w:rPr>
        <w:t xml:space="preserve">ed the </w:t>
      </w:r>
      <w:r w:rsidRPr="004F54AE">
        <w:rPr>
          <w:szCs w:val="24"/>
        </w:rPr>
        <w:t xml:space="preserve">specific capabilities that National Oil </w:t>
      </w:r>
      <w:r w:rsidR="000D4474">
        <w:rPr>
          <w:szCs w:val="24"/>
        </w:rPr>
        <w:t>acquired as a company</w:t>
      </w:r>
      <w:r w:rsidRPr="004F54AE">
        <w:rPr>
          <w:szCs w:val="24"/>
        </w:rPr>
        <w:t xml:space="preserve">. According to the findings, majority of the respondents were in agreement that strategic partnerships had </w:t>
      </w:r>
      <w:r w:rsidR="000D4474">
        <w:rPr>
          <w:szCs w:val="24"/>
        </w:rPr>
        <w:t>resulted in</w:t>
      </w:r>
      <w:r w:rsidRPr="004F54AE">
        <w:rPr>
          <w:szCs w:val="24"/>
        </w:rPr>
        <w:t>; increased operational efficiency, increased exposure and global recognition hence enhancing National Oil brand</w:t>
      </w:r>
      <w:r w:rsidR="000D4474">
        <w:rPr>
          <w:szCs w:val="24"/>
        </w:rPr>
        <w:t>. I</w:t>
      </w:r>
      <w:r w:rsidRPr="004F54AE">
        <w:rPr>
          <w:szCs w:val="24"/>
        </w:rPr>
        <w:t xml:space="preserve">t had </w:t>
      </w:r>
      <w:r w:rsidR="000D4474">
        <w:rPr>
          <w:szCs w:val="24"/>
        </w:rPr>
        <w:t xml:space="preserve">also </w:t>
      </w:r>
      <w:r w:rsidRPr="004F54AE">
        <w:rPr>
          <w:szCs w:val="24"/>
        </w:rPr>
        <w:t>led to enhanced National Oil’s financial capacity to undertake capital intensive projects as shown by 70%, 69%</w:t>
      </w:r>
      <w:r w:rsidR="004F4329" w:rsidRPr="004F54AE">
        <w:rPr>
          <w:szCs w:val="24"/>
        </w:rPr>
        <w:t>, and</w:t>
      </w:r>
      <w:r w:rsidRPr="004F54AE">
        <w:rPr>
          <w:szCs w:val="24"/>
        </w:rPr>
        <w:t xml:space="preserve"> 54% respectively</w:t>
      </w:r>
      <w:r w:rsidR="00D4010E">
        <w:rPr>
          <w:szCs w:val="24"/>
        </w:rPr>
        <w:t xml:space="preserve"> in table 3 above</w:t>
      </w:r>
      <w:r w:rsidRPr="004F54AE">
        <w:rPr>
          <w:szCs w:val="24"/>
        </w:rPr>
        <w:t xml:space="preserve">. </w:t>
      </w:r>
      <w:r w:rsidR="00EA0859">
        <w:rPr>
          <w:szCs w:val="24"/>
        </w:rPr>
        <w:t>Majority of the respondents(</w:t>
      </w:r>
      <w:r w:rsidR="00EA0859" w:rsidRPr="007B73E1">
        <w:rPr>
          <w:szCs w:val="24"/>
        </w:rPr>
        <w:t>84%) seemed to agree</w:t>
      </w:r>
      <w:r w:rsidR="00EA0859" w:rsidRPr="004F54AE">
        <w:rPr>
          <w:szCs w:val="24"/>
        </w:rPr>
        <w:t xml:space="preserve"> that strategic partnerships </w:t>
      </w:r>
      <w:r w:rsidR="00EA0859" w:rsidRPr="007B73E1">
        <w:rPr>
          <w:szCs w:val="24"/>
        </w:rPr>
        <w:t>would make</w:t>
      </w:r>
      <w:r w:rsidR="00EA0859" w:rsidRPr="004F54AE">
        <w:rPr>
          <w:szCs w:val="24"/>
        </w:rPr>
        <w:t xml:space="preserve"> National Oil more susceptible to manipulation by more experienced companies.</w:t>
      </w:r>
      <w:r w:rsidR="00EA0859" w:rsidRPr="007B73E1">
        <w:rPr>
          <w:szCs w:val="24"/>
          <w:lang w:val="en-GB"/>
        </w:rPr>
        <w:t>To discourage this</w:t>
      </w:r>
      <w:r w:rsidR="007B73E1" w:rsidRPr="007B73E1">
        <w:rPr>
          <w:szCs w:val="24"/>
          <w:lang w:val="en-GB"/>
        </w:rPr>
        <w:t>,</w:t>
      </w:r>
      <w:r w:rsidR="001D7FBB">
        <w:rPr>
          <w:szCs w:val="24"/>
          <w:lang w:val="en-GB"/>
        </w:rPr>
        <w:t xml:space="preserve"> </w:t>
      </w:r>
      <w:r w:rsidR="00EA0859" w:rsidRPr="007B73E1">
        <w:rPr>
          <w:szCs w:val="24"/>
          <w:lang w:val="en-GB"/>
        </w:rPr>
        <w:t>Hamidu (2012) observes that it is important to ensure a strategic fit of partners by meshing individual interests and resources without overshadowing the lesser party.</w:t>
      </w:r>
    </w:p>
    <w:p w:rsidR="00EA0859" w:rsidRPr="001A4E80" w:rsidRDefault="00EA0859" w:rsidP="00EA0859">
      <w:pPr>
        <w:rPr>
          <w:color w:val="FF0000"/>
          <w:szCs w:val="24"/>
          <w:lang w:val="en-GB"/>
        </w:rPr>
      </w:pPr>
      <w:r w:rsidRPr="001A4E80">
        <w:rPr>
          <w:color w:val="FF0000"/>
          <w:szCs w:val="24"/>
          <w:lang w:val="en-GB"/>
        </w:rPr>
        <w:tab/>
      </w:r>
    </w:p>
    <w:p w:rsidR="0082694E" w:rsidRPr="004F54AE" w:rsidRDefault="0082694E" w:rsidP="00B1259B">
      <w:pPr>
        <w:pStyle w:val="Heading4"/>
      </w:pPr>
      <w:bookmarkStart w:id="14" w:name="_Toc415578506"/>
      <w:bookmarkStart w:id="15" w:name="_Toc415639744"/>
      <w:bookmarkStart w:id="16" w:name="_Toc415641735"/>
      <w:bookmarkStart w:id="17" w:name="_Toc415641812"/>
      <w:bookmarkStart w:id="18" w:name="_Toc415642085"/>
      <w:r>
        <w:t xml:space="preserve">Table </w:t>
      </w:r>
      <w:r w:rsidR="000D4474">
        <w:t>4</w:t>
      </w:r>
      <w:r>
        <w:t>:</w:t>
      </w:r>
      <w:r w:rsidR="001D6A73">
        <w:t xml:space="preserve"> </w:t>
      </w:r>
      <w:r w:rsidRPr="00257A6C">
        <w:t xml:space="preserve">Internal </w:t>
      </w:r>
      <w:r>
        <w:t>C</w:t>
      </w:r>
      <w:r w:rsidRPr="00257A6C">
        <w:t xml:space="preserve">apacity </w:t>
      </w:r>
      <w:r>
        <w:t>Developed &amp;</w:t>
      </w:r>
      <w:r w:rsidRPr="004F54AE">
        <w:t>Quality Internal Processes</w:t>
      </w:r>
      <w:r w:rsidRPr="004B76E5">
        <w:t>.</w:t>
      </w:r>
      <w:bookmarkEnd w:id="14"/>
      <w:bookmarkEnd w:id="15"/>
      <w:bookmarkEnd w:id="16"/>
      <w:bookmarkEnd w:id="17"/>
      <w:bookmarkEnd w:id="18"/>
    </w:p>
    <w:tbl>
      <w:tblPr>
        <w:tblW w:w="9149" w:type="dxa"/>
        <w:tblInd w:w="93" w:type="dxa"/>
        <w:tblBorders>
          <w:top w:val="single" w:sz="4" w:space="0" w:color="auto"/>
          <w:bottom w:val="single" w:sz="4" w:space="0" w:color="auto"/>
        </w:tblBorders>
        <w:tblLook w:val="04A0" w:firstRow="1" w:lastRow="0" w:firstColumn="1" w:lastColumn="0" w:noHBand="0" w:noVBand="1"/>
      </w:tblPr>
      <w:tblGrid>
        <w:gridCol w:w="2805"/>
        <w:gridCol w:w="1839"/>
        <w:gridCol w:w="1380"/>
        <w:gridCol w:w="1694"/>
        <w:gridCol w:w="1431"/>
      </w:tblGrid>
      <w:tr w:rsidR="0082694E" w:rsidRPr="004F54AE" w:rsidTr="001D6A73">
        <w:trPr>
          <w:trHeight w:val="300"/>
        </w:trPr>
        <w:tc>
          <w:tcPr>
            <w:tcW w:w="2805" w:type="dxa"/>
            <w:tcBorders>
              <w:top w:val="single" w:sz="4" w:space="0" w:color="auto"/>
              <w:bottom w:val="single" w:sz="4" w:space="0" w:color="auto"/>
            </w:tcBorders>
            <w:shd w:val="clear" w:color="auto" w:fill="auto"/>
            <w:noWrap/>
            <w:vAlign w:val="bottom"/>
            <w:hideMark/>
          </w:tcPr>
          <w:p w:rsidR="0082694E" w:rsidRPr="00B1259B" w:rsidRDefault="0082694E" w:rsidP="00D4010E">
            <w:pPr>
              <w:spacing w:after="0"/>
              <w:rPr>
                <w:rFonts w:eastAsia="Times New Roman"/>
                <w:b/>
                <w:color w:val="000000"/>
                <w:szCs w:val="24"/>
              </w:rPr>
            </w:pPr>
          </w:p>
        </w:tc>
        <w:tc>
          <w:tcPr>
            <w:tcW w:w="1839" w:type="dxa"/>
            <w:tcBorders>
              <w:top w:val="single" w:sz="4" w:space="0" w:color="auto"/>
              <w:bottom w:val="single" w:sz="4" w:space="0" w:color="auto"/>
            </w:tcBorders>
            <w:shd w:val="clear" w:color="auto" w:fill="auto"/>
            <w:noWrap/>
            <w:vAlign w:val="bottom"/>
            <w:hideMark/>
          </w:tcPr>
          <w:p w:rsidR="0082694E" w:rsidRPr="00B1259B" w:rsidRDefault="0082694E" w:rsidP="00D4010E">
            <w:pPr>
              <w:spacing w:after="0"/>
              <w:rPr>
                <w:rFonts w:eastAsia="Times New Roman"/>
                <w:b/>
                <w:color w:val="000000"/>
                <w:szCs w:val="24"/>
              </w:rPr>
            </w:pPr>
            <w:r w:rsidRPr="00B1259B">
              <w:rPr>
                <w:rFonts w:eastAsia="Times New Roman"/>
                <w:b/>
                <w:color w:val="000000"/>
                <w:szCs w:val="24"/>
              </w:rPr>
              <w:t>Yes/Frequency</w:t>
            </w:r>
          </w:p>
        </w:tc>
        <w:tc>
          <w:tcPr>
            <w:tcW w:w="1380" w:type="dxa"/>
            <w:tcBorders>
              <w:top w:val="single" w:sz="4" w:space="0" w:color="auto"/>
              <w:bottom w:val="single" w:sz="4" w:space="0" w:color="auto"/>
            </w:tcBorders>
            <w:shd w:val="clear" w:color="auto" w:fill="auto"/>
            <w:noWrap/>
            <w:vAlign w:val="bottom"/>
            <w:hideMark/>
          </w:tcPr>
          <w:p w:rsidR="0082694E" w:rsidRPr="00B1259B" w:rsidRDefault="0082694E" w:rsidP="00D4010E">
            <w:pPr>
              <w:spacing w:after="0"/>
              <w:rPr>
                <w:rFonts w:eastAsia="Times New Roman"/>
                <w:b/>
                <w:color w:val="000000"/>
                <w:szCs w:val="24"/>
              </w:rPr>
            </w:pPr>
            <w:r w:rsidRPr="00B1259B">
              <w:rPr>
                <w:rFonts w:eastAsia="Times New Roman"/>
                <w:b/>
                <w:color w:val="000000"/>
                <w:szCs w:val="24"/>
              </w:rPr>
              <w:t>Percentage (%)</w:t>
            </w:r>
          </w:p>
        </w:tc>
        <w:tc>
          <w:tcPr>
            <w:tcW w:w="1694" w:type="dxa"/>
            <w:tcBorders>
              <w:top w:val="single" w:sz="4" w:space="0" w:color="auto"/>
              <w:bottom w:val="single" w:sz="4" w:space="0" w:color="auto"/>
            </w:tcBorders>
            <w:shd w:val="clear" w:color="auto" w:fill="auto"/>
            <w:noWrap/>
            <w:vAlign w:val="bottom"/>
            <w:hideMark/>
          </w:tcPr>
          <w:p w:rsidR="0082694E" w:rsidRPr="00B1259B" w:rsidRDefault="0082694E" w:rsidP="00D4010E">
            <w:pPr>
              <w:spacing w:after="0"/>
              <w:rPr>
                <w:rFonts w:eastAsia="Times New Roman"/>
                <w:b/>
                <w:color w:val="000000"/>
                <w:szCs w:val="24"/>
              </w:rPr>
            </w:pPr>
            <w:r w:rsidRPr="00B1259B">
              <w:rPr>
                <w:rFonts w:eastAsia="Times New Roman"/>
                <w:b/>
                <w:color w:val="000000"/>
                <w:szCs w:val="24"/>
              </w:rPr>
              <w:t>No/Frequency</w:t>
            </w:r>
          </w:p>
        </w:tc>
        <w:tc>
          <w:tcPr>
            <w:tcW w:w="1431" w:type="dxa"/>
            <w:tcBorders>
              <w:top w:val="single" w:sz="4" w:space="0" w:color="auto"/>
              <w:bottom w:val="single" w:sz="4" w:space="0" w:color="auto"/>
            </w:tcBorders>
            <w:shd w:val="clear" w:color="auto" w:fill="auto"/>
            <w:noWrap/>
            <w:vAlign w:val="bottom"/>
            <w:hideMark/>
          </w:tcPr>
          <w:p w:rsidR="0082694E" w:rsidRPr="00B1259B" w:rsidRDefault="0082694E" w:rsidP="00D4010E">
            <w:pPr>
              <w:spacing w:after="0"/>
              <w:rPr>
                <w:rFonts w:eastAsia="Times New Roman"/>
                <w:b/>
                <w:color w:val="000000"/>
                <w:szCs w:val="24"/>
              </w:rPr>
            </w:pPr>
            <w:r w:rsidRPr="00B1259B">
              <w:rPr>
                <w:rFonts w:eastAsia="Times New Roman"/>
                <w:b/>
                <w:color w:val="000000"/>
                <w:szCs w:val="24"/>
              </w:rPr>
              <w:t>Percentage (%)</w:t>
            </w:r>
          </w:p>
        </w:tc>
      </w:tr>
      <w:tr w:rsidR="0082694E" w:rsidRPr="004F54AE" w:rsidTr="001D6A73">
        <w:trPr>
          <w:trHeight w:val="300"/>
        </w:trPr>
        <w:tc>
          <w:tcPr>
            <w:tcW w:w="2805" w:type="dxa"/>
            <w:tcBorders>
              <w:top w:val="single" w:sz="4" w:space="0" w:color="auto"/>
            </w:tcBorders>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Internal Processes &amp; quality standards</w:t>
            </w:r>
          </w:p>
        </w:tc>
        <w:tc>
          <w:tcPr>
            <w:tcW w:w="1839" w:type="dxa"/>
            <w:tcBorders>
              <w:top w:val="single" w:sz="4" w:space="0" w:color="auto"/>
            </w:tcBorders>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36</w:t>
            </w:r>
          </w:p>
        </w:tc>
        <w:tc>
          <w:tcPr>
            <w:tcW w:w="1380" w:type="dxa"/>
            <w:tcBorders>
              <w:top w:val="single" w:sz="4" w:space="0" w:color="auto"/>
            </w:tcBorders>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73</w:t>
            </w:r>
          </w:p>
        </w:tc>
        <w:tc>
          <w:tcPr>
            <w:tcW w:w="1694" w:type="dxa"/>
            <w:tcBorders>
              <w:top w:val="single" w:sz="4" w:space="0" w:color="auto"/>
            </w:tcBorders>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13</w:t>
            </w:r>
          </w:p>
        </w:tc>
        <w:tc>
          <w:tcPr>
            <w:tcW w:w="1431" w:type="dxa"/>
            <w:tcBorders>
              <w:top w:val="single" w:sz="4" w:space="0" w:color="auto"/>
            </w:tcBorders>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27</w:t>
            </w:r>
          </w:p>
        </w:tc>
      </w:tr>
      <w:tr w:rsidR="0082694E" w:rsidRPr="004F54AE" w:rsidTr="001D6A73">
        <w:trPr>
          <w:trHeight w:val="300"/>
        </w:trPr>
        <w:tc>
          <w:tcPr>
            <w:tcW w:w="2805"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Brand Recognition of the Company</w:t>
            </w:r>
          </w:p>
        </w:tc>
        <w:tc>
          <w:tcPr>
            <w:tcW w:w="1839"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33</w:t>
            </w:r>
          </w:p>
        </w:tc>
        <w:tc>
          <w:tcPr>
            <w:tcW w:w="1380"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67</w:t>
            </w:r>
          </w:p>
        </w:tc>
        <w:tc>
          <w:tcPr>
            <w:tcW w:w="1694"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16</w:t>
            </w:r>
          </w:p>
        </w:tc>
        <w:tc>
          <w:tcPr>
            <w:tcW w:w="1431"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33</w:t>
            </w:r>
          </w:p>
        </w:tc>
      </w:tr>
      <w:tr w:rsidR="0082694E" w:rsidRPr="004F54AE" w:rsidTr="001D6A73">
        <w:trPr>
          <w:trHeight w:val="300"/>
        </w:trPr>
        <w:tc>
          <w:tcPr>
            <w:tcW w:w="2805"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Financial Capability</w:t>
            </w:r>
          </w:p>
        </w:tc>
        <w:tc>
          <w:tcPr>
            <w:tcW w:w="1839"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31</w:t>
            </w:r>
          </w:p>
        </w:tc>
        <w:tc>
          <w:tcPr>
            <w:tcW w:w="1380"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63</w:t>
            </w:r>
          </w:p>
        </w:tc>
        <w:tc>
          <w:tcPr>
            <w:tcW w:w="1694"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18</w:t>
            </w:r>
          </w:p>
        </w:tc>
        <w:tc>
          <w:tcPr>
            <w:tcW w:w="1431"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37</w:t>
            </w:r>
          </w:p>
        </w:tc>
      </w:tr>
      <w:tr w:rsidR="0082694E" w:rsidRPr="004F54AE" w:rsidTr="001D6A73">
        <w:trPr>
          <w:trHeight w:val="300"/>
        </w:trPr>
        <w:tc>
          <w:tcPr>
            <w:tcW w:w="2805"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 xml:space="preserve">Technological Capabilities </w:t>
            </w:r>
          </w:p>
        </w:tc>
        <w:tc>
          <w:tcPr>
            <w:tcW w:w="1839"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30</w:t>
            </w:r>
          </w:p>
        </w:tc>
        <w:tc>
          <w:tcPr>
            <w:tcW w:w="1380"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61</w:t>
            </w:r>
          </w:p>
        </w:tc>
        <w:tc>
          <w:tcPr>
            <w:tcW w:w="1694"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19</w:t>
            </w:r>
          </w:p>
        </w:tc>
        <w:tc>
          <w:tcPr>
            <w:tcW w:w="1431"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39</w:t>
            </w:r>
          </w:p>
        </w:tc>
      </w:tr>
      <w:tr w:rsidR="0082694E" w:rsidRPr="004F54AE" w:rsidTr="001D6A73">
        <w:trPr>
          <w:trHeight w:val="300"/>
        </w:trPr>
        <w:tc>
          <w:tcPr>
            <w:tcW w:w="2805"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Skills &amp; Competencies</w:t>
            </w:r>
          </w:p>
        </w:tc>
        <w:tc>
          <w:tcPr>
            <w:tcW w:w="1839"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29</w:t>
            </w:r>
          </w:p>
        </w:tc>
        <w:tc>
          <w:tcPr>
            <w:tcW w:w="1380"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59</w:t>
            </w:r>
          </w:p>
        </w:tc>
        <w:tc>
          <w:tcPr>
            <w:tcW w:w="1694"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20</w:t>
            </w:r>
          </w:p>
        </w:tc>
        <w:tc>
          <w:tcPr>
            <w:tcW w:w="1431" w:type="dxa"/>
            <w:shd w:val="clear" w:color="auto" w:fill="auto"/>
            <w:noWrap/>
            <w:vAlign w:val="bottom"/>
            <w:hideMark/>
          </w:tcPr>
          <w:p w:rsidR="0082694E" w:rsidRPr="004F54AE" w:rsidRDefault="0082694E" w:rsidP="00D4010E">
            <w:pPr>
              <w:spacing w:after="0"/>
              <w:rPr>
                <w:rFonts w:eastAsia="Times New Roman"/>
                <w:color w:val="000000"/>
                <w:szCs w:val="24"/>
              </w:rPr>
            </w:pPr>
            <w:r w:rsidRPr="004F54AE">
              <w:rPr>
                <w:rFonts w:eastAsia="Times New Roman"/>
                <w:color w:val="000000"/>
                <w:szCs w:val="24"/>
              </w:rPr>
              <w:t>41</w:t>
            </w:r>
          </w:p>
        </w:tc>
      </w:tr>
    </w:tbl>
    <w:p w:rsidR="0082694E" w:rsidRPr="004F54AE" w:rsidRDefault="0082694E" w:rsidP="007B383D">
      <w:pPr>
        <w:rPr>
          <w:szCs w:val="24"/>
        </w:rPr>
      </w:pPr>
      <w:r w:rsidRPr="004F54AE">
        <w:rPr>
          <w:szCs w:val="24"/>
        </w:rPr>
        <w:lastRenderedPageBreak/>
        <w:t xml:space="preserve">The study required the respondents to indicate proprietary interests </w:t>
      </w:r>
      <w:r w:rsidR="000D4474">
        <w:rPr>
          <w:szCs w:val="24"/>
        </w:rPr>
        <w:t>N</w:t>
      </w:r>
      <w:r w:rsidRPr="004F54AE">
        <w:rPr>
          <w:szCs w:val="24"/>
        </w:rPr>
        <w:t xml:space="preserve">ational </w:t>
      </w:r>
      <w:r w:rsidR="000D4474">
        <w:rPr>
          <w:szCs w:val="24"/>
        </w:rPr>
        <w:t>O</w:t>
      </w:r>
      <w:r w:rsidRPr="004F54AE">
        <w:rPr>
          <w:szCs w:val="24"/>
        </w:rPr>
        <w:t xml:space="preserve">il </w:t>
      </w:r>
      <w:r w:rsidR="000D4474">
        <w:rPr>
          <w:szCs w:val="24"/>
        </w:rPr>
        <w:t xml:space="preserve">Corporation </w:t>
      </w:r>
      <w:r w:rsidRPr="004F54AE">
        <w:rPr>
          <w:szCs w:val="24"/>
        </w:rPr>
        <w:t>has been able to acquire as a result of the strategic partnerships undertaken. According to the findings</w:t>
      </w:r>
      <w:r w:rsidR="000D4474">
        <w:rPr>
          <w:szCs w:val="24"/>
        </w:rPr>
        <w:t>,</w:t>
      </w:r>
      <w:r w:rsidRPr="004F54AE">
        <w:rPr>
          <w:szCs w:val="24"/>
        </w:rPr>
        <w:t xml:space="preserve"> majority of the respondents indicated that proprietary interests </w:t>
      </w:r>
      <w:r w:rsidR="000D4474">
        <w:rPr>
          <w:szCs w:val="24"/>
        </w:rPr>
        <w:t xml:space="preserve">the Corporation had been </w:t>
      </w:r>
      <w:r w:rsidRPr="004F54AE">
        <w:rPr>
          <w:szCs w:val="24"/>
        </w:rPr>
        <w:t xml:space="preserve">able to acquire as a result of the collaborative ventures undertaken </w:t>
      </w:r>
      <w:r w:rsidR="000D4474">
        <w:rPr>
          <w:szCs w:val="24"/>
        </w:rPr>
        <w:t>included:</w:t>
      </w:r>
      <w:r w:rsidRPr="004F54AE">
        <w:rPr>
          <w:szCs w:val="24"/>
        </w:rPr>
        <w:t xml:space="preserve"> Internal Processes &amp; quality standards, Brand Recognition of the Company, Financial Capability, Technological Capabilities, skills &amp; competencies as shown by 73%, 67%, 63%, 61% and 59% respectively</w:t>
      </w:r>
      <w:r w:rsidR="000D4474">
        <w:rPr>
          <w:szCs w:val="24"/>
        </w:rPr>
        <w:t xml:space="preserve"> in table 4 above</w:t>
      </w:r>
      <w:r w:rsidRPr="004F54AE">
        <w:rPr>
          <w:szCs w:val="24"/>
        </w:rPr>
        <w:t>.</w:t>
      </w:r>
    </w:p>
    <w:p w:rsidR="00CC44F6" w:rsidRPr="005936B6" w:rsidRDefault="00F75B84" w:rsidP="00B1259B">
      <w:pPr>
        <w:pStyle w:val="Heading1"/>
      </w:pPr>
      <w:r>
        <w:t xml:space="preserve">5.0 </w:t>
      </w:r>
      <w:r w:rsidR="00D4010E" w:rsidRPr="005936B6">
        <w:t>Conclusion and Practical Implication of the Study</w:t>
      </w:r>
    </w:p>
    <w:p w:rsidR="003A0520" w:rsidRPr="003A0520" w:rsidRDefault="007B73E1" w:rsidP="007B383D">
      <w:pPr>
        <w:rPr>
          <w:lang w:val="en-GB"/>
        </w:rPr>
      </w:pPr>
      <w:r w:rsidRPr="003A0520">
        <w:t>A</w:t>
      </w:r>
      <w:r w:rsidRPr="003A0520">
        <w:rPr>
          <w:lang w:val="en-GB"/>
        </w:rPr>
        <w:t xml:space="preserve"> population that lacks skills, competence and capability to participate in the value chain in the oil and gas industry leads to importing the skills, competence and capabilities required to respond to the demands within the industry. For instance, Nigeria has a reputation of being the largest oil producer in Africa but its population remains the poorest and most technologically challenged. </w:t>
      </w:r>
    </w:p>
    <w:p w:rsidR="00DB0B81" w:rsidRPr="007B383D" w:rsidRDefault="00D4010E" w:rsidP="005936B6">
      <w:r>
        <w:t>The study</w:t>
      </w:r>
      <w:r w:rsidR="007B73E1">
        <w:t>, therefore,</w:t>
      </w:r>
      <w:r>
        <w:t xml:space="preserve"> concludes that strategic partnership is a key strategy that emerging oil and gas industries can adopt to build their capacities without compromising their independence or competitiveness. It is a cost effective strategy with tremendous results. Countries, therefore, classified as emerging oil and gas frontiers can apply this strategy to build their technical, financial and skills capabilities without being heavily indebted or manipulated by the industry leaders</w:t>
      </w:r>
    </w:p>
    <w:p w:rsidR="0095444E" w:rsidRPr="00B1259B" w:rsidRDefault="007B383D" w:rsidP="00B1259B">
      <w:pPr>
        <w:pStyle w:val="Heading1"/>
        <w:rPr>
          <w:szCs w:val="24"/>
        </w:rPr>
      </w:pPr>
      <w:r w:rsidRPr="00B1259B">
        <w:rPr>
          <w:szCs w:val="24"/>
        </w:rPr>
        <w:t>REFERENCES</w:t>
      </w:r>
    </w:p>
    <w:p w:rsidR="00226D0B" w:rsidRPr="00646971" w:rsidRDefault="00226D0B" w:rsidP="007B383D">
      <w:pPr>
        <w:ind w:left="720" w:hanging="720"/>
        <w:contextualSpacing/>
        <w:rPr>
          <w:szCs w:val="24"/>
          <w:lang w:val="en-GB"/>
        </w:rPr>
      </w:pPr>
      <w:r w:rsidRPr="00646971">
        <w:rPr>
          <w:szCs w:val="24"/>
          <w:lang w:val="en-GB"/>
        </w:rPr>
        <w:t xml:space="preserve">Akpata U., Bredenhann C., &amp; White D., (2013) </w:t>
      </w:r>
      <w:r w:rsidRPr="00646971">
        <w:rPr>
          <w:i/>
          <w:szCs w:val="24"/>
          <w:lang w:val="en-GB"/>
        </w:rPr>
        <w:t xml:space="preserve">From promise to performance; Africa </w:t>
      </w:r>
      <w:r w:rsidRPr="00646971">
        <w:rPr>
          <w:i/>
          <w:szCs w:val="24"/>
          <w:lang w:val="en-GB"/>
        </w:rPr>
        <w:tab/>
        <w:t>oil &amp; gas review</w:t>
      </w:r>
      <w:r w:rsidRPr="00646971">
        <w:rPr>
          <w:szCs w:val="24"/>
          <w:lang w:val="en-GB"/>
        </w:rPr>
        <w:t>. South Africa: PWC.</w:t>
      </w:r>
    </w:p>
    <w:p w:rsidR="00226D0B" w:rsidRDefault="00226D0B" w:rsidP="007B383D">
      <w:pPr>
        <w:ind w:left="720" w:hanging="720"/>
        <w:contextualSpacing/>
        <w:rPr>
          <w:szCs w:val="24"/>
          <w:lang w:val="en-GB"/>
        </w:rPr>
      </w:pPr>
      <w:r w:rsidRPr="00646971">
        <w:rPr>
          <w:szCs w:val="24"/>
          <w:lang w:val="en-GB"/>
        </w:rPr>
        <w:t xml:space="preserve">Blackwell R., &amp;Eppler D., (2014) An approach to strategic situation analysis; </w:t>
      </w:r>
      <w:r w:rsidRPr="00646971">
        <w:rPr>
          <w:szCs w:val="24"/>
          <w:lang w:val="en-GB"/>
        </w:rPr>
        <w:tab/>
        <w:t xml:space="preserve">Using </w:t>
      </w:r>
      <w:r w:rsidRPr="00646971">
        <w:rPr>
          <w:szCs w:val="24"/>
          <w:lang w:val="en-GB"/>
        </w:rPr>
        <w:tab/>
        <w:t>models as analytical tools</w:t>
      </w:r>
      <w:r w:rsidRPr="00646971">
        <w:rPr>
          <w:i/>
          <w:szCs w:val="24"/>
          <w:lang w:val="en-GB"/>
        </w:rPr>
        <w:t>;Journal of Global Business management</w:t>
      </w:r>
      <w:r w:rsidRPr="00646971">
        <w:rPr>
          <w:szCs w:val="24"/>
          <w:lang w:val="en-GB"/>
        </w:rPr>
        <w:t>, Vol.10, No.1.</w:t>
      </w:r>
    </w:p>
    <w:p w:rsidR="00226D0B" w:rsidRPr="00646971" w:rsidRDefault="00226D0B" w:rsidP="007B383D">
      <w:pPr>
        <w:ind w:left="720" w:hanging="720"/>
        <w:contextualSpacing/>
        <w:rPr>
          <w:szCs w:val="24"/>
          <w:lang w:val="en-GB"/>
        </w:rPr>
      </w:pPr>
      <w:r w:rsidRPr="00646971">
        <w:rPr>
          <w:szCs w:val="24"/>
          <w:lang w:val="en-GB"/>
        </w:rPr>
        <w:t>Das T.K., &amp; Sheng B.S., (2000) A research based theory of strategic alliances</w:t>
      </w:r>
      <w:r w:rsidRPr="00646971">
        <w:rPr>
          <w:i/>
          <w:szCs w:val="24"/>
          <w:lang w:val="en-GB"/>
        </w:rPr>
        <w:t>,</w:t>
      </w:r>
      <w:r w:rsidRPr="00646971">
        <w:rPr>
          <w:szCs w:val="24"/>
          <w:lang w:val="en-GB"/>
        </w:rPr>
        <w:tab/>
      </w:r>
      <w:r w:rsidRPr="00646971">
        <w:rPr>
          <w:i/>
          <w:szCs w:val="24"/>
          <w:lang w:val="en-GB"/>
        </w:rPr>
        <w:t>Journal of Management</w:t>
      </w:r>
      <w:r w:rsidRPr="00646971">
        <w:rPr>
          <w:szCs w:val="24"/>
          <w:lang w:val="en-GB"/>
        </w:rPr>
        <w:t>; Vol.26, No.1; 31-61.</w:t>
      </w:r>
    </w:p>
    <w:p w:rsidR="00226D0B" w:rsidRPr="00646971" w:rsidRDefault="00226D0B" w:rsidP="007B383D">
      <w:pPr>
        <w:ind w:left="720" w:hanging="720"/>
        <w:contextualSpacing/>
        <w:rPr>
          <w:szCs w:val="24"/>
          <w:lang w:val="en-GB"/>
        </w:rPr>
      </w:pPr>
      <w:r w:rsidRPr="00646971">
        <w:rPr>
          <w:szCs w:val="24"/>
          <w:lang w:val="en-GB"/>
        </w:rPr>
        <w:t xml:space="preserve">Davis G.F., &amp; Cobb J.A., (2009) </w:t>
      </w:r>
      <w:r w:rsidRPr="00646971">
        <w:rPr>
          <w:i/>
          <w:szCs w:val="24"/>
          <w:lang w:val="en-GB"/>
        </w:rPr>
        <w:t>Resource dependence theory</w:t>
      </w:r>
      <w:r w:rsidRPr="00646971">
        <w:rPr>
          <w:szCs w:val="24"/>
          <w:lang w:val="en-GB"/>
        </w:rPr>
        <w:t xml:space="preserve">: </w:t>
      </w:r>
      <w:r w:rsidRPr="00646971">
        <w:rPr>
          <w:i/>
          <w:szCs w:val="24"/>
          <w:lang w:val="en-GB"/>
        </w:rPr>
        <w:t>Past and present</w:t>
      </w:r>
      <w:r w:rsidRPr="00646971">
        <w:rPr>
          <w:szCs w:val="24"/>
          <w:lang w:val="en-GB"/>
        </w:rPr>
        <w:t xml:space="preserve">; </w:t>
      </w:r>
      <w:r w:rsidRPr="00646971">
        <w:rPr>
          <w:szCs w:val="24"/>
          <w:lang w:val="en-GB"/>
        </w:rPr>
        <w:tab/>
      </w:r>
      <w:r w:rsidRPr="00646971">
        <w:rPr>
          <w:i/>
          <w:szCs w:val="24"/>
          <w:lang w:val="en-GB"/>
        </w:rPr>
        <w:t>Research in Sociology of Organizations</w:t>
      </w:r>
      <w:r w:rsidRPr="00646971">
        <w:rPr>
          <w:szCs w:val="24"/>
          <w:lang w:val="en-GB"/>
        </w:rPr>
        <w:t>. Michigan: University of Michigan.</w:t>
      </w:r>
    </w:p>
    <w:p w:rsidR="00B35FBE" w:rsidRDefault="00B35FBE" w:rsidP="007B383D">
      <w:pPr>
        <w:ind w:left="720" w:hanging="720"/>
        <w:rPr>
          <w:szCs w:val="24"/>
          <w:lang w:val="en-GB"/>
        </w:rPr>
      </w:pPr>
      <w:r w:rsidRPr="00B35FBE">
        <w:rPr>
          <w:szCs w:val="24"/>
          <w:lang w:val="en-GB"/>
        </w:rPr>
        <w:t xml:space="preserve">Gamble J., Thomson A., &amp;Peteraf M., (2015) </w:t>
      </w:r>
      <w:r w:rsidRPr="00B35FBE">
        <w:rPr>
          <w:i/>
          <w:szCs w:val="24"/>
          <w:lang w:val="en-GB"/>
        </w:rPr>
        <w:t>Essentials of strategic management: The quest for competitive advantage (4</w:t>
      </w:r>
      <w:r w:rsidRPr="00B35FBE">
        <w:rPr>
          <w:i/>
          <w:szCs w:val="24"/>
          <w:vertAlign w:val="superscript"/>
          <w:lang w:val="en-GB"/>
        </w:rPr>
        <w:t>th</w:t>
      </w:r>
      <w:r w:rsidRPr="00B35FBE">
        <w:rPr>
          <w:i/>
          <w:szCs w:val="24"/>
          <w:lang w:val="en-GB"/>
        </w:rPr>
        <w:t xml:space="preserve"> Ed)</w:t>
      </w:r>
      <w:r w:rsidRPr="00B35FBE">
        <w:rPr>
          <w:szCs w:val="24"/>
          <w:lang w:val="en-GB"/>
        </w:rPr>
        <w:t>. New York: Mcgraw Hill.</w:t>
      </w:r>
    </w:p>
    <w:p w:rsidR="00226D0B" w:rsidRPr="00646971" w:rsidRDefault="00226D0B" w:rsidP="007B383D">
      <w:pPr>
        <w:ind w:left="720" w:hanging="720"/>
        <w:contextualSpacing/>
        <w:rPr>
          <w:szCs w:val="24"/>
          <w:lang w:val="en-GB"/>
        </w:rPr>
      </w:pPr>
      <w:r w:rsidRPr="00646971">
        <w:rPr>
          <w:szCs w:val="24"/>
          <w:lang w:val="en-GB"/>
        </w:rPr>
        <w:t xml:space="preserve">Grant R.M., &amp; Fuller C.B., (2004) A knowledge accessing theory of strategic </w:t>
      </w:r>
      <w:r w:rsidRPr="00646971">
        <w:rPr>
          <w:szCs w:val="24"/>
          <w:lang w:val="en-GB"/>
        </w:rPr>
        <w:tab/>
        <w:t>alliance</w:t>
      </w:r>
      <w:r w:rsidRPr="00646971">
        <w:rPr>
          <w:i/>
          <w:szCs w:val="24"/>
          <w:lang w:val="en-GB"/>
        </w:rPr>
        <w:t>s.Journal of Management Studies</w:t>
      </w:r>
      <w:r w:rsidRPr="00646971">
        <w:rPr>
          <w:szCs w:val="24"/>
          <w:lang w:val="en-GB"/>
        </w:rPr>
        <w:t>, No.41 (1), 61-84.</w:t>
      </w:r>
    </w:p>
    <w:p w:rsidR="00226D0B" w:rsidRPr="00646971" w:rsidRDefault="00226D0B" w:rsidP="007B383D">
      <w:pPr>
        <w:ind w:left="720" w:hanging="720"/>
        <w:contextualSpacing/>
        <w:rPr>
          <w:szCs w:val="24"/>
          <w:lang w:val="en-GB"/>
        </w:rPr>
      </w:pPr>
      <w:r w:rsidRPr="00646971">
        <w:rPr>
          <w:szCs w:val="24"/>
          <w:lang w:val="en-GB"/>
        </w:rPr>
        <w:t xml:space="preserve">Hackenbruch M., &amp;Pluess J.D., (March, 2011) </w:t>
      </w:r>
      <w:r w:rsidRPr="00646971">
        <w:rPr>
          <w:i/>
          <w:szCs w:val="24"/>
          <w:lang w:val="en-GB"/>
        </w:rPr>
        <w:t xml:space="preserve">Commercial value from sustainable </w:t>
      </w:r>
      <w:r w:rsidRPr="00646971">
        <w:rPr>
          <w:i/>
          <w:szCs w:val="24"/>
          <w:lang w:val="en-GB"/>
        </w:rPr>
        <w:tab/>
        <w:t xml:space="preserve">local </w:t>
      </w:r>
      <w:r w:rsidRPr="00646971">
        <w:rPr>
          <w:i/>
          <w:szCs w:val="24"/>
          <w:lang w:val="en-GB"/>
        </w:rPr>
        <w:tab/>
        <w:t>benefits in the extractive industries: Local Content</w:t>
      </w:r>
      <w:r w:rsidRPr="00646971">
        <w:rPr>
          <w:szCs w:val="24"/>
          <w:lang w:val="en-GB"/>
        </w:rPr>
        <w:t>, retrieved on 24</w:t>
      </w:r>
      <w:r w:rsidRPr="00646971">
        <w:rPr>
          <w:szCs w:val="24"/>
          <w:vertAlign w:val="superscript"/>
          <w:lang w:val="en-GB"/>
        </w:rPr>
        <w:t>th</w:t>
      </w:r>
      <w:r w:rsidRPr="00646971">
        <w:rPr>
          <w:szCs w:val="24"/>
          <w:lang w:val="en-GB"/>
        </w:rPr>
        <w:tab/>
        <w:t xml:space="preserve">April, 2014 from </w:t>
      </w:r>
      <w:hyperlink r:id="rId10" w:history="1">
        <w:r w:rsidRPr="00646971">
          <w:rPr>
            <w:rStyle w:val="Hyperlink"/>
            <w:szCs w:val="24"/>
            <w:lang w:val="en-GB"/>
          </w:rPr>
          <w:t>www.bsr.org</w:t>
        </w:r>
      </w:hyperlink>
    </w:p>
    <w:p w:rsidR="00226D0B" w:rsidRPr="00646971" w:rsidRDefault="00226D0B" w:rsidP="007B383D">
      <w:pPr>
        <w:ind w:left="720" w:hanging="720"/>
        <w:contextualSpacing/>
        <w:rPr>
          <w:szCs w:val="24"/>
          <w:lang w:val="en-GB"/>
        </w:rPr>
      </w:pPr>
      <w:r w:rsidRPr="00646971">
        <w:rPr>
          <w:szCs w:val="24"/>
          <w:lang w:val="en-GB"/>
        </w:rPr>
        <w:t xml:space="preserve">Hamidu J.S., (April 2012) Competitive strategies for international oil companies; a </w:t>
      </w:r>
      <w:r w:rsidRPr="00646971">
        <w:rPr>
          <w:szCs w:val="24"/>
          <w:lang w:val="en-GB"/>
        </w:rPr>
        <w:tab/>
        <w:t xml:space="preserve">case of Tullow oil plc and GNPC, </w:t>
      </w:r>
      <w:r w:rsidRPr="00646971">
        <w:rPr>
          <w:i/>
          <w:szCs w:val="24"/>
          <w:lang w:val="en-GB"/>
        </w:rPr>
        <w:t xml:space="preserve">International Journal of Energy and </w:t>
      </w:r>
      <w:r w:rsidRPr="00646971">
        <w:rPr>
          <w:i/>
          <w:szCs w:val="24"/>
          <w:lang w:val="en-GB"/>
        </w:rPr>
        <w:tab/>
        <w:t>Economics and Policy</w:t>
      </w:r>
      <w:r w:rsidRPr="00646971">
        <w:rPr>
          <w:szCs w:val="24"/>
          <w:lang w:val="en-GB"/>
        </w:rPr>
        <w:t xml:space="preserve">; Vol 3, No.4, 2014, pp 759-771; </w:t>
      </w:r>
    </w:p>
    <w:p w:rsidR="00226D0B" w:rsidRPr="00646971" w:rsidRDefault="00226D0B" w:rsidP="007B383D">
      <w:pPr>
        <w:ind w:left="720" w:hanging="720"/>
        <w:contextualSpacing/>
        <w:rPr>
          <w:szCs w:val="24"/>
        </w:rPr>
      </w:pPr>
      <w:r w:rsidRPr="00646971">
        <w:rPr>
          <w:szCs w:val="24"/>
        </w:rPr>
        <w:t xml:space="preserve">Ijose O., (2010) Strategic human resource management SME and strategic partnership capability, </w:t>
      </w:r>
      <w:r w:rsidRPr="00646971">
        <w:rPr>
          <w:i/>
          <w:szCs w:val="24"/>
        </w:rPr>
        <w:t>Journal of Management and Marketing Research</w:t>
      </w:r>
      <w:r w:rsidRPr="00646971">
        <w:rPr>
          <w:szCs w:val="24"/>
        </w:rPr>
        <w:t>, No. 5, Slippery Rock, University of Pennsylvania retrieved on 12</w:t>
      </w:r>
      <w:r w:rsidRPr="00646971">
        <w:rPr>
          <w:szCs w:val="24"/>
          <w:vertAlign w:val="superscript"/>
        </w:rPr>
        <w:t>th</w:t>
      </w:r>
      <w:r w:rsidRPr="00646971">
        <w:rPr>
          <w:szCs w:val="24"/>
        </w:rPr>
        <w:t xml:space="preserve"> November, 2014 from </w:t>
      </w:r>
      <w:hyperlink r:id="rId11" w:history="1">
        <w:r w:rsidRPr="00C319E6">
          <w:rPr>
            <w:rStyle w:val="Hyperlink"/>
            <w:szCs w:val="24"/>
          </w:rPr>
          <w:t>http://www.aabri.com/manuscripts/</w:t>
        </w:r>
      </w:hyperlink>
      <w:r w:rsidRPr="00646971">
        <w:rPr>
          <w:szCs w:val="24"/>
        </w:rPr>
        <w:t>.</w:t>
      </w:r>
    </w:p>
    <w:p w:rsidR="00226D0B" w:rsidRPr="00F94FCF" w:rsidRDefault="00226D0B" w:rsidP="007B383D">
      <w:pPr>
        <w:ind w:left="720" w:hanging="720"/>
        <w:contextualSpacing/>
        <w:rPr>
          <w:szCs w:val="24"/>
          <w:lang w:val="en-GB"/>
        </w:rPr>
      </w:pPr>
      <w:r>
        <w:rPr>
          <w:szCs w:val="24"/>
          <w:lang w:val="en-GB"/>
        </w:rPr>
        <w:lastRenderedPageBreak/>
        <w:t xml:space="preserve">James R. A. (2011) Strategic alliances between national and international oil </w:t>
      </w:r>
      <w:r>
        <w:rPr>
          <w:szCs w:val="24"/>
          <w:lang w:val="en-GB"/>
        </w:rPr>
        <w:tab/>
        <w:t xml:space="preserve">companies, </w:t>
      </w:r>
      <w:r w:rsidRPr="00F94FCF">
        <w:rPr>
          <w:i/>
          <w:szCs w:val="24"/>
          <w:lang w:val="en-GB"/>
        </w:rPr>
        <w:t xml:space="preserve">Program on Energy and Sustainable Development Working Paper </w:t>
      </w:r>
      <w:r w:rsidRPr="00F94FCF">
        <w:rPr>
          <w:i/>
          <w:szCs w:val="24"/>
          <w:lang w:val="en-GB"/>
        </w:rPr>
        <w:tab/>
        <w:t># 104 October 2011</w:t>
      </w:r>
      <w:r>
        <w:rPr>
          <w:i/>
          <w:szCs w:val="24"/>
          <w:lang w:val="en-GB"/>
        </w:rPr>
        <w:t>.</w:t>
      </w:r>
      <w:r>
        <w:rPr>
          <w:szCs w:val="24"/>
          <w:lang w:val="en-GB"/>
        </w:rPr>
        <w:t xml:space="preserve">Standford: Freeman Spogli Institute for International </w:t>
      </w:r>
      <w:r>
        <w:rPr>
          <w:szCs w:val="24"/>
          <w:lang w:val="en-GB"/>
        </w:rPr>
        <w:tab/>
        <w:t>Studies.</w:t>
      </w:r>
    </w:p>
    <w:p w:rsidR="00226D0B" w:rsidRPr="001D7FBB" w:rsidRDefault="00226D0B" w:rsidP="001D7FBB">
      <w:pPr>
        <w:ind w:left="720" w:hanging="720"/>
        <w:contextualSpacing/>
        <w:rPr>
          <w:szCs w:val="24"/>
        </w:rPr>
      </w:pPr>
      <w:r w:rsidRPr="00646971">
        <w:rPr>
          <w:rStyle w:val="Emphasis"/>
          <w:i w:val="0"/>
          <w:szCs w:val="24"/>
        </w:rPr>
        <w:t xml:space="preserve">Kakonge. J. O., (31st January 2013) </w:t>
      </w:r>
      <w:r w:rsidRPr="00646971">
        <w:rPr>
          <w:i/>
          <w:szCs w:val="24"/>
        </w:rPr>
        <w:t xml:space="preserve">Challenges Faced by Emerging Energy </w:t>
      </w:r>
      <w:r w:rsidRPr="00646971">
        <w:rPr>
          <w:i/>
          <w:szCs w:val="24"/>
        </w:rPr>
        <w:tab/>
        <w:t xml:space="preserve">Producers in Sub-Saharan Africa: Averting the ‘Resource </w:t>
      </w:r>
      <w:r w:rsidRPr="00646971">
        <w:rPr>
          <w:szCs w:val="24"/>
        </w:rPr>
        <w:t xml:space="preserve">Curse’. New York: </w:t>
      </w:r>
      <w:r w:rsidRPr="00646971">
        <w:rPr>
          <w:szCs w:val="24"/>
        </w:rPr>
        <w:tab/>
        <w:t xml:space="preserve">Global </w:t>
      </w:r>
      <w:r w:rsidRPr="00646971">
        <w:rPr>
          <w:szCs w:val="24"/>
        </w:rPr>
        <w:tab/>
        <w:t>Policy retrieved on 11</w:t>
      </w:r>
      <w:r w:rsidRPr="00646971">
        <w:rPr>
          <w:szCs w:val="24"/>
          <w:vertAlign w:val="superscript"/>
        </w:rPr>
        <w:t>th</w:t>
      </w:r>
      <w:r w:rsidRPr="00646971">
        <w:rPr>
          <w:szCs w:val="24"/>
        </w:rPr>
        <w:t xml:space="preserve"> November, 2014 from </w:t>
      </w:r>
      <w:r w:rsidRPr="00646971">
        <w:rPr>
          <w:szCs w:val="24"/>
        </w:rPr>
        <w:tab/>
      </w:r>
      <w:hyperlink r:id="rId12" w:history="1">
        <w:r w:rsidRPr="00C319E6">
          <w:rPr>
            <w:rStyle w:val="Hyperlink"/>
            <w:szCs w:val="24"/>
          </w:rPr>
          <w:t>http://www.globalpolicyjournal.com/</w:t>
        </w:r>
      </w:hyperlink>
    </w:p>
    <w:p w:rsidR="00226D0B" w:rsidRPr="007B383D" w:rsidRDefault="00226D0B" w:rsidP="007B383D">
      <w:pPr>
        <w:ind w:left="720" w:hanging="720"/>
        <w:contextualSpacing/>
        <w:rPr>
          <w:szCs w:val="24"/>
        </w:rPr>
      </w:pPr>
      <w:r w:rsidRPr="00646971">
        <w:rPr>
          <w:szCs w:val="24"/>
        </w:rPr>
        <w:t xml:space="preserve">Kothari, C. R. (2004). </w:t>
      </w:r>
      <w:r w:rsidRPr="00646971">
        <w:rPr>
          <w:i/>
          <w:iCs/>
          <w:szCs w:val="24"/>
        </w:rPr>
        <w:t>Research Methodology: Methods and Techniques </w:t>
      </w:r>
      <w:r w:rsidRPr="00646971">
        <w:rPr>
          <w:szCs w:val="24"/>
        </w:rPr>
        <w:t>(2</w:t>
      </w:r>
      <w:r w:rsidRPr="00646971">
        <w:rPr>
          <w:szCs w:val="24"/>
          <w:vertAlign w:val="superscript"/>
        </w:rPr>
        <w:t>nd</w:t>
      </w:r>
      <w:r w:rsidRPr="00646971">
        <w:rPr>
          <w:szCs w:val="24"/>
        </w:rPr>
        <w:t xml:space="preserve"> Ed.). </w:t>
      </w:r>
      <w:r w:rsidRPr="00646971">
        <w:rPr>
          <w:szCs w:val="24"/>
        </w:rPr>
        <w:tab/>
        <w:t xml:space="preserve">New </w:t>
      </w:r>
      <w:r w:rsidRPr="00646971">
        <w:rPr>
          <w:szCs w:val="24"/>
        </w:rPr>
        <w:tab/>
        <w:t>Delhi: New Age International limited.</w:t>
      </w:r>
    </w:p>
    <w:p w:rsidR="00226D0B" w:rsidRPr="00646971" w:rsidRDefault="00226D0B" w:rsidP="007B383D">
      <w:pPr>
        <w:ind w:left="720" w:hanging="720"/>
        <w:contextualSpacing/>
        <w:rPr>
          <w:szCs w:val="24"/>
          <w:lang w:val="en-GB"/>
        </w:rPr>
      </w:pPr>
      <w:r w:rsidRPr="00646971">
        <w:rPr>
          <w:szCs w:val="24"/>
          <w:lang w:val="en-GB"/>
        </w:rPr>
        <w:t xml:space="preserve">KPMG Africa, (2013) </w:t>
      </w:r>
      <w:r w:rsidRPr="00646971">
        <w:rPr>
          <w:i/>
          <w:szCs w:val="24"/>
          <w:lang w:val="en-GB"/>
        </w:rPr>
        <w:t xml:space="preserve">Oil and gas in Africa; Africa’s reserves, potential and </w:t>
      </w:r>
      <w:r w:rsidRPr="00646971">
        <w:rPr>
          <w:i/>
          <w:szCs w:val="24"/>
          <w:lang w:val="en-GB"/>
        </w:rPr>
        <w:tab/>
        <w:t xml:space="preserve">prospects </w:t>
      </w:r>
      <w:r w:rsidRPr="00646971">
        <w:rPr>
          <w:szCs w:val="24"/>
          <w:lang w:val="en-GB"/>
        </w:rPr>
        <w:t>retrieved on 11</w:t>
      </w:r>
      <w:r w:rsidRPr="00646971">
        <w:rPr>
          <w:szCs w:val="24"/>
          <w:vertAlign w:val="superscript"/>
          <w:lang w:val="en-GB"/>
        </w:rPr>
        <w:t>th</w:t>
      </w:r>
      <w:r w:rsidRPr="00646971">
        <w:rPr>
          <w:szCs w:val="24"/>
          <w:lang w:val="en-GB"/>
        </w:rPr>
        <w:t xml:space="preserve"> November, 2014 from</w:t>
      </w:r>
      <w:hyperlink r:id="rId13" w:history="1">
        <w:r w:rsidRPr="00646971">
          <w:rPr>
            <w:rStyle w:val="Hyperlink"/>
            <w:szCs w:val="24"/>
            <w:lang w:val="en-GB"/>
          </w:rPr>
          <w:t>www.kpmgafrica.com</w:t>
        </w:r>
      </w:hyperlink>
    </w:p>
    <w:p w:rsidR="00B35FBE" w:rsidRPr="007B383D" w:rsidRDefault="00226D0B" w:rsidP="007B383D">
      <w:pPr>
        <w:ind w:left="720" w:hanging="720"/>
        <w:contextualSpacing/>
        <w:rPr>
          <w:szCs w:val="24"/>
          <w:lang w:val="en-GB"/>
        </w:rPr>
      </w:pPr>
      <w:r w:rsidRPr="00646971">
        <w:rPr>
          <w:szCs w:val="24"/>
          <w:lang w:val="en-GB"/>
        </w:rPr>
        <w:t xml:space="preserve">Mercel V., &amp; Heller P.,(2012) Governance challenges for emerging oil and gas </w:t>
      </w:r>
      <w:r w:rsidRPr="00646971">
        <w:rPr>
          <w:szCs w:val="24"/>
          <w:lang w:val="en-GB"/>
        </w:rPr>
        <w:tab/>
        <w:t xml:space="preserve">producers, </w:t>
      </w:r>
      <w:r w:rsidRPr="00646971">
        <w:rPr>
          <w:i/>
          <w:szCs w:val="24"/>
          <w:lang w:val="en-GB"/>
        </w:rPr>
        <w:t>EEDP Program paper</w:t>
      </w:r>
      <w:r w:rsidRPr="00646971">
        <w:rPr>
          <w:szCs w:val="24"/>
          <w:lang w:val="en-GB"/>
        </w:rPr>
        <w:t>: 2012/05. London: Chatham House.</w:t>
      </w:r>
    </w:p>
    <w:p w:rsidR="00B35FBE" w:rsidRDefault="00B35FBE" w:rsidP="007B383D">
      <w:pPr>
        <w:ind w:left="720" w:hanging="720"/>
        <w:rPr>
          <w:szCs w:val="24"/>
          <w:lang w:val="en-GB"/>
        </w:rPr>
      </w:pPr>
      <w:r w:rsidRPr="00B35FBE">
        <w:rPr>
          <w:szCs w:val="24"/>
          <w:lang w:val="en-GB"/>
        </w:rPr>
        <w:t xml:space="preserve">McQuaid R.W., (2000) </w:t>
      </w:r>
      <w:r w:rsidRPr="00B35FBE">
        <w:rPr>
          <w:i/>
          <w:szCs w:val="24"/>
          <w:lang w:val="en-GB"/>
        </w:rPr>
        <w:t>The theory of partnerships- why have partnerships</w:t>
      </w:r>
      <w:r w:rsidRPr="00B35FBE">
        <w:rPr>
          <w:szCs w:val="24"/>
          <w:lang w:val="en-GB"/>
        </w:rPr>
        <w:t xml:space="preserve"> in Osborne S. P., </w:t>
      </w:r>
      <w:r w:rsidRPr="00B35FBE">
        <w:rPr>
          <w:szCs w:val="24"/>
          <w:lang w:val="en-GB"/>
        </w:rPr>
        <w:tab/>
        <w:t xml:space="preserve">Managing public private partnerships for public services: an international perspective </w:t>
      </w:r>
      <w:r w:rsidRPr="00B35FBE">
        <w:rPr>
          <w:szCs w:val="24"/>
          <w:lang w:val="en-GB"/>
        </w:rPr>
        <w:tab/>
        <w:t>(ed). London pp. 9-35.</w:t>
      </w:r>
    </w:p>
    <w:p w:rsidR="00226D0B" w:rsidRPr="00646971" w:rsidRDefault="00226D0B" w:rsidP="007B383D">
      <w:pPr>
        <w:ind w:left="720" w:hanging="720"/>
        <w:contextualSpacing/>
        <w:rPr>
          <w:szCs w:val="24"/>
          <w:lang w:val="en-GB"/>
        </w:rPr>
      </w:pPr>
      <w:r w:rsidRPr="00646971">
        <w:rPr>
          <w:szCs w:val="24"/>
          <w:lang w:val="en-GB"/>
        </w:rPr>
        <w:t xml:space="preserve">Mugenda.O., &amp;Mugenda A.G., (2003) </w:t>
      </w:r>
      <w:r w:rsidRPr="00646971">
        <w:rPr>
          <w:i/>
          <w:szCs w:val="24"/>
          <w:lang w:val="en-GB"/>
        </w:rPr>
        <w:t>Research methods</w:t>
      </w:r>
      <w:r w:rsidRPr="00646971">
        <w:rPr>
          <w:szCs w:val="24"/>
          <w:lang w:val="en-GB"/>
        </w:rPr>
        <w:t>.</w:t>
      </w:r>
      <w:r w:rsidRPr="00646971">
        <w:rPr>
          <w:i/>
          <w:szCs w:val="24"/>
          <w:lang w:val="en-GB"/>
        </w:rPr>
        <w:t xml:space="preserve">Qualitative and </w:t>
      </w:r>
      <w:r w:rsidRPr="00646971">
        <w:rPr>
          <w:i/>
          <w:szCs w:val="24"/>
          <w:lang w:val="en-GB"/>
        </w:rPr>
        <w:tab/>
        <w:t xml:space="preserve">Quantitative </w:t>
      </w:r>
      <w:r w:rsidRPr="00646971">
        <w:rPr>
          <w:i/>
          <w:szCs w:val="24"/>
          <w:lang w:val="en-GB"/>
        </w:rPr>
        <w:tab/>
        <w:t>Approaches.</w:t>
      </w:r>
      <w:r w:rsidRPr="00646971">
        <w:rPr>
          <w:szCs w:val="24"/>
          <w:lang w:val="en-GB"/>
        </w:rPr>
        <w:t xml:space="preserve"> Nairobi: Acts Press.</w:t>
      </w:r>
    </w:p>
    <w:p w:rsidR="00226D0B" w:rsidRPr="007B383D" w:rsidRDefault="00226D0B" w:rsidP="007B383D">
      <w:pPr>
        <w:ind w:left="720" w:hanging="720"/>
        <w:contextualSpacing/>
      </w:pPr>
      <w:r w:rsidRPr="00646971">
        <w:rPr>
          <w:szCs w:val="24"/>
          <w:lang w:val="en-GB"/>
        </w:rPr>
        <w:t>Mwangi G., (25</w:t>
      </w:r>
      <w:r w:rsidRPr="00646971">
        <w:rPr>
          <w:szCs w:val="24"/>
          <w:vertAlign w:val="superscript"/>
          <w:lang w:val="en-GB"/>
        </w:rPr>
        <w:t>th</w:t>
      </w:r>
      <w:r w:rsidRPr="00646971">
        <w:rPr>
          <w:szCs w:val="24"/>
          <w:lang w:val="en-GB"/>
        </w:rPr>
        <w:t xml:space="preserve"> July, 2014) World Bank approves support for Kenya oil and gas </w:t>
      </w:r>
      <w:r w:rsidRPr="00646971">
        <w:rPr>
          <w:szCs w:val="24"/>
          <w:lang w:val="en-GB"/>
        </w:rPr>
        <w:tab/>
        <w:t>project</w:t>
      </w:r>
      <w:r w:rsidRPr="00646971">
        <w:rPr>
          <w:i/>
          <w:szCs w:val="24"/>
          <w:lang w:val="en-GB"/>
        </w:rPr>
        <w:t>.The Wall Street Journal</w:t>
      </w:r>
      <w:r w:rsidRPr="00646971">
        <w:rPr>
          <w:szCs w:val="24"/>
          <w:lang w:val="en-GB"/>
        </w:rPr>
        <w:t>, retrieved on 12</w:t>
      </w:r>
      <w:r w:rsidRPr="00646971">
        <w:rPr>
          <w:szCs w:val="24"/>
          <w:vertAlign w:val="superscript"/>
          <w:lang w:val="en-GB"/>
        </w:rPr>
        <w:t>th</w:t>
      </w:r>
      <w:r w:rsidRPr="00646971">
        <w:rPr>
          <w:szCs w:val="24"/>
          <w:lang w:val="en-GB"/>
        </w:rPr>
        <w:t xml:space="preserve"> January, 2015 from </w:t>
      </w:r>
      <w:r w:rsidRPr="00646971">
        <w:rPr>
          <w:szCs w:val="24"/>
          <w:lang w:val="en-GB"/>
        </w:rPr>
        <w:tab/>
      </w:r>
      <w:hyperlink r:id="rId14" w:history="1">
        <w:r w:rsidRPr="00646971">
          <w:rPr>
            <w:rStyle w:val="Hyperlink"/>
            <w:szCs w:val="24"/>
            <w:lang w:val="en-GB"/>
          </w:rPr>
          <w:t>http://blogs.wsj.com/frontiers/</w:t>
        </w:r>
      </w:hyperlink>
    </w:p>
    <w:p w:rsidR="00226D0B" w:rsidRPr="00646971" w:rsidRDefault="00226D0B" w:rsidP="007B383D">
      <w:pPr>
        <w:ind w:left="720" w:hanging="720"/>
        <w:contextualSpacing/>
        <w:rPr>
          <w:szCs w:val="24"/>
          <w:lang w:val="en-GB"/>
        </w:rPr>
      </w:pPr>
      <w:r w:rsidRPr="00646971">
        <w:rPr>
          <w:szCs w:val="24"/>
          <w:lang w:val="en-GB"/>
        </w:rPr>
        <w:t xml:space="preserve">Olavarrieta S., &amp;Ellinger A., (1997), Resource based theory and strategic logistics </w:t>
      </w:r>
      <w:r w:rsidRPr="00646971">
        <w:rPr>
          <w:szCs w:val="24"/>
          <w:lang w:val="en-GB"/>
        </w:rPr>
        <w:tab/>
        <w:t>research</w:t>
      </w:r>
      <w:r w:rsidRPr="00646971">
        <w:rPr>
          <w:i/>
          <w:szCs w:val="24"/>
          <w:lang w:val="en-GB"/>
        </w:rPr>
        <w:t xml:space="preserve">, International Journal of Physical Distribution and Logistics </w:t>
      </w:r>
      <w:r w:rsidRPr="00646971">
        <w:rPr>
          <w:i/>
          <w:szCs w:val="24"/>
          <w:lang w:val="en-GB"/>
        </w:rPr>
        <w:tab/>
        <w:t>Management</w:t>
      </w:r>
      <w:r w:rsidRPr="00646971">
        <w:rPr>
          <w:szCs w:val="24"/>
          <w:lang w:val="en-GB"/>
        </w:rPr>
        <w:t xml:space="preserve">; no. 27, </w:t>
      </w:r>
      <w:r w:rsidRPr="00646971">
        <w:rPr>
          <w:szCs w:val="24"/>
          <w:lang w:val="en-GB"/>
        </w:rPr>
        <w:tab/>
        <w:t>9/10; pp 559 to 587.</w:t>
      </w:r>
    </w:p>
    <w:p w:rsidR="00226D0B" w:rsidRPr="00646971" w:rsidRDefault="00226D0B" w:rsidP="007B383D">
      <w:pPr>
        <w:ind w:left="720" w:hanging="720"/>
        <w:contextualSpacing/>
        <w:rPr>
          <w:szCs w:val="24"/>
          <w:lang w:val="en-GB"/>
        </w:rPr>
      </w:pPr>
      <w:r w:rsidRPr="00646971">
        <w:rPr>
          <w:szCs w:val="24"/>
          <w:lang w:val="en-GB"/>
        </w:rPr>
        <w:t xml:space="preserve">Ozigbo C.N (October, 2008) </w:t>
      </w:r>
      <w:r w:rsidRPr="00646971">
        <w:rPr>
          <w:i/>
          <w:szCs w:val="24"/>
          <w:lang w:val="en-GB"/>
        </w:rPr>
        <w:t xml:space="preserve">Technological capacity building in the Nigeria’s oil and </w:t>
      </w:r>
      <w:r w:rsidRPr="00646971">
        <w:rPr>
          <w:i/>
          <w:szCs w:val="24"/>
          <w:lang w:val="en-GB"/>
        </w:rPr>
        <w:tab/>
        <w:t>gas industry</w:t>
      </w:r>
      <w:r w:rsidRPr="00646971">
        <w:rPr>
          <w:szCs w:val="24"/>
          <w:lang w:val="en-GB"/>
        </w:rPr>
        <w:t>, retrieved on 11</w:t>
      </w:r>
      <w:r w:rsidRPr="00646971">
        <w:rPr>
          <w:szCs w:val="24"/>
          <w:vertAlign w:val="superscript"/>
          <w:lang w:val="en-GB"/>
        </w:rPr>
        <w:t>th</w:t>
      </w:r>
      <w:r w:rsidRPr="00646971">
        <w:rPr>
          <w:szCs w:val="24"/>
          <w:lang w:val="en-GB"/>
        </w:rPr>
        <w:t xml:space="preserve"> November, 2014 from </w:t>
      </w:r>
      <w:hyperlink r:id="rId15" w:history="1">
        <w:r w:rsidRPr="00646971">
          <w:rPr>
            <w:rStyle w:val="Hyperlink"/>
            <w:szCs w:val="24"/>
            <w:lang w:val="en-GB"/>
          </w:rPr>
          <w:t>www.iima.org</w:t>
        </w:r>
      </w:hyperlink>
    </w:p>
    <w:p w:rsidR="00226D0B" w:rsidRPr="00646971" w:rsidRDefault="00226D0B" w:rsidP="007B383D">
      <w:pPr>
        <w:ind w:left="720" w:hanging="720"/>
        <w:contextualSpacing/>
        <w:rPr>
          <w:szCs w:val="24"/>
          <w:lang w:val="en-GB"/>
        </w:rPr>
      </w:pPr>
      <w:r w:rsidRPr="00646971">
        <w:rPr>
          <w:szCs w:val="24"/>
          <w:lang w:val="en-GB"/>
        </w:rPr>
        <w:t xml:space="preserve">Strickland T., (1990) </w:t>
      </w:r>
      <w:r w:rsidRPr="00646971">
        <w:rPr>
          <w:i/>
          <w:szCs w:val="24"/>
          <w:lang w:val="en-GB"/>
        </w:rPr>
        <w:t>Strategic Management; Concepts and cases</w:t>
      </w:r>
      <w:r>
        <w:rPr>
          <w:szCs w:val="24"/>
          <w:lang w:val="en-GB"/>
        </w:rPr>
        <w:t>.Illinois:Richard</w:t>
      </w:r>
      <w:r>
        <w:rPr>
          <w:szCs w:val="24"/>
          <w:lang w:val="en-GB"/>
        </w:rPr>
        <w:tab/>
        <w:t>D.Irwin Inc.</w:t>
      </w:r>
      <w:r w:rsidRPr="00646971">
        <w:rPr>
          <w:szCs w:val="24"/>
          <w:lang w:val="en-GB"/>
        </w:rPr>
        <w:tab/>
        <w:t>.</w:t>
      </w:r>
    </w:p>
    <w:p w:rsidR="00226D0B" w:rsidRPr="00646971" w:rsidRDefault="00226D0B" w:rsidP="007B383D">
      <w:pPr>
        <w:ind w:left="720" w:hanging="720"/>
        <w:contextualSpacing/>
        <w:rPr>
          <w:szCs w:val="24"/>
          <w:lang w:val="en-GB"/>
        </w:rPr>
      </w:pPr>
      <w:r w:rsidRPr="00646971">
        <w:rPr>
          <w:szCs w:val="24"/>
          <w:lang w:val="en-GB"/>
        </w:rPr>
        <w:t xml:space="preserve">Stuart J.B., Walker J.T., &amp;Minzner A., (December 15, 2011) </w:t>
      </w:r>
      <w:r w:rsidRPr="00646971">
        <w:rPr>
          <w:i/>
          <w:szCs w:val="24"/>
          <w:lang w:val="en-GB"/>
        </w:rPr>
        <w:t xml:space="preserve">A critical review of </w:t>
      </w:r>
      <w:r w:rsidRPr="00646971">
        <w:rPr>
          <w:i/>
          <w:szCs w:val="24"/>
          <w:lang w:val="en-GB"/>
        </w:rPr>
        <w:tab/>
        <w:t xml:space="preserve">partnership </w:t>
      </w:r>
      <w:r w:rsidRPr="00646971">
        <w:rPr>
          <w:i/>
          <w:szCs w:val="24"/>
          <w:lang w:val="en-GB"/>
        </w:rPr>
        <w:tab/>
        <w:t>and capacity effectiveness; Moving from theory to evidence</w:t>
      </w:r>
      <w:r w:rsidRPr="00646971">
        <w:rPr>
          <w:szCs w:val="24"/>
          <w:lang w:val="en-GB"/>
        </w:rPr>
        <w:t xml:space="preserve">, </w:t>
      </w:r>
      <w:r w:rsidRPr="00646971">
        <w:rPr>
          <w:szCs w:val="24"/>
          <w:lang w:val="en-GB"/>
        </w:rPr>
        <w:tab/>
        <w:t>Abt associates retrieved on 11</w:t>
      </w:r>
      <w:r w:rsidRPr="00646971">
        <w:rPr>
          <w:szCs w:val="24"/>
          <w:vertAlign w:val="superscript"/>
          <w:lang w:val="en-GB"/>
        </w:rPr>
        <w:t>th</w:t>
      </w:r>
      <w:r w:rsidRPr="00646971">
        <w:rPr>
          <w:szCs w:val="24"/>
          <w:lang w:val="en-GB"/>
        </w:rPr>
        <w:t xml:space="preserve"> November 2014 from Inc</w:t>
      </w:r>
      <w:r w:rsidRPr="00646971">
        <w:rPr>
          <w:szCs w:val="24"/>
        </w:rPr>
        <w:tab/>
      </w:r>
      <w:hyperlink r:id="rId16" w:history="1">
        <w:r w:rsidRPr="00C319E6">
          <w:rPr>
            <w:rStyle w:val="Hyperlink"/>
            <w:szCs w:val="24"/>
            <w:lang w:val="en-GB"/>
          </w:rPr>
          <w:t>http://www.abtassociates.com/AbtAssociates/files</w:t>
        </w:r>
      </w:hyperlink>
      <w:r>
        <w:rPr>
          <w:szCs w:val="24"/>
          <w:lang w:val="en-GB"/>
        </w:rPr>
        <w:t>.</w:t>
      </w:r>
    </w:p>
    <w:p w:rsidR="00226D0B" w:rsidRPr="007B383D" w:rsidRDefault="00226D0B" w:rsidP="007B383D">
      <w:pPr>
        <w:ind w:left="720" w:hanging="720"/>
        <w:contextualSpacing/>
      </w:pPr>
      <w:r w:rsidRPr="00646971">
        <w:rPr>
          <w:szCs w:val="24"/>
          <w:lang w:val="en-GB"/>
        </w:rPr>
        <w:t>Tully A., (18</w:t>
      </w:r>
      <w:r w:rsidRPr="00646971">
        <w:rPr>
          <w:szCs w:val="24"/>
          <w:vertAlign w:val="superscript"/>
          <w:lang w:val="en-GB"/>
        </w:rPr>
        <w:t>th</w:t>
      </w:r>
      <w:r w:rsidRPr="00646971">
        <w:rPr>
          <w:szCs w:val="24"/>
          <w:lang w:val="en-GB"/>
        </w:rPr>
        <w:t xml:space="preserve"> February, 2015) </w:t>
      </w:r>
      <w:r w:rsidRPr="00646971">
        <w:rPr>
          <w:i/>
          <w:szCs w:val="24"/>
          <w:lang w:val="en-GB"/>
        </w:rPr>
        <w:t>Uganda oil industry starts after 8 years of delay</w:t>
      </w:r>
      <w:r w:rsidRPr="00646971">
        <w:rPr>
          <w:szCs w:val="24"/>
          <w:lang w:val="en-GB"/>
        </w:rPr>
        <w:t xml:space="preserve">, </w:t>
      </w:r>
      <w:r w:rsidRPr="00646971">
        <w:rPr>
          <w:szCs w:val="24"/>
          <w:lang w:val="en-GB"/>
        </w:rPr>
        <w:tab/>
        <w:t>retrieved on 23</w:t>
      </w:r>
      <w:r w:rsidRPr="00646971">
        <w:rPr>
          <w:szCs w:val="24"/>
          <w:vertAlign w:val="superscript"/>
          <w:lang w:val="en-GB"/>
        </w:rPr>
        <w:t>rd</w:t>
      </w:r>
      <w:r w:rsidRPr="00646971">
        <w:rPr>
          <w:szCs w:val="24"/>
          <w:lang w:val="en-GB"/>
        </w:rPr>
        <w:t xml:space="preserve"> November,2014 from </w:t>
      </w:r>
      <w:hyperlink r:id="rId17" w:history="1">
        <w:r w:rsidRPr="00646971">
          <w:rPr>
            <w:rStyle w:val="Hyperlink"/>
            <w:szCs w:val="24"/>
          </w:rPr>
          <w:t>http://oilprice.com/Latest-Energy-</w:t>
        </w:r>
        <w:r w:rsidRPr="001C0567">
          <w:rPr>
            <w:rStyle w:val="Hyperlink"/>
            <w:szCs w:val="24"/>
          </w:rPr>
          <w:tab/>
        </w:r>
        <w:r w:rsidRPr="00646971">
          <w:rPr>
            <w:rStyle w:val="Hyperlink"/>
            <w:szCs w:val="24"/>
          </w:rPr>
          <w:t>News/</w:t>
        </w:r>
      </w:hyperlink>
    </w:p>
    <w:p w:rsidR="00226D0B" w:rsidRPr="00646971" w:rsidRDefault="00226D0B" w:rsidP="007B383D">
      <w:pPr>
        <w:ind w:left="720" w:hanging="720"/>
        <w:contextualSpacing/>
        <w:rPr>
          <w:szCs w:val="24"/>
          <w:lang w:val="en-GB"/>
        </w:rPr>
      </w:pPr>
      <w:r w:rsidRPr="00646971">
        <w:rPr>
          <w:szCs w:val="24"/>
          <w:lang w:val="en-GB"/>
        </w:rPr>
        <w:t xml:space="preserve">Ungson R.G &amp; Wong Y (2008) </w:t>
      </w:r>
      <w:r w:rsidRPr="00646971">
        <w:rPr>
          <w:i/>
          <w:szCs w:val="24"/>
          <w:lang w:val="en-GB"/>
        </w:rPr>
        <w:t>Global strategic management:</w:t>
      </w:r>
      <w:r w:rsidRPr="00646971">
        <w:rPr>
          <w:szCs w:val="24"/>
          <w:lang w:val="en-GB"/>
        </w:rPr>
        <w:t xml:space="preserve"> New York. M.E </w:t>
      </w:r>
      <w:r w:rsidRPr="00646971">
        <w:rPr>
          <w:szCs w:val="24"/>
          <w:lang w:val="en-GB"/>
        </w:rPr>
        <w:tab/>
        <w:t>Sharpe Inc. Armonk</w:t>
      </w:r>
      <w:r>
        <w:rPr>
          <w:szCs w:val="24"/>
          <w:lang w:val="en-GB"/>
        </w:rPr>
        <w:t>.</w:t>
      </w:r>
    </w:p>
    <w:p w:rsidR="00226D0B" w:rsidRPr="00646971" w:rsidRDefault="00226D0B" w:rsidP="007B383D">
      <w:pPr>
        <w:ind w:left="720" w:hanging="720"/>
        <w:contextualSpacing/>
        <w:rPr>
          <w:szCs w:val="24"/>
          <w:lang w:val="en-GB" w:eastAsia="en-GB"/>
        </w:rPr>
      </w:pPr>
      <w:r w:rsidRPr="00646971">
        <w:rPr>
          <w:szCs w:val="24"/>
          <w:lang w:val="en-GB"/>
        </w:rPr>
        <w:t xml:space="preserve">Wohlsetter P., Smith J., &amp; Malloy C.L., (2005) Strategic alliances in action; Toward a </w:t>
      </w:r>
      <w:r w:rsidRPr="00646971">
        <w:rPr>
          <w:szCs w:val="24"/>
          <w:lang w:val="en-GB"/>
        </w:rPr>
        <w:tab/>
        <w:t xml:space="preserve">theory </w:t>
      </w:r>
      <w:r w:rsidRPr="00646971">
        <w:rPr>
          <w:szCs w:val="24"/>
          <w:lang w:val="en-GB"/>
        </w:rPr>
        <w:tab/>
        <w:t>of evolution</w:t>
      </w:r>
      <w:r w:rsidRPr="00646971">
        <w:rPr>
          <w:i/>
          <w:szCs w:val="24"/>
          <w:lang w:val="en-GB"/>
        </w:rPr>
        <w:t>, Policy studies Journal</w:t>
      </w:r>
      <w:r w:rsidRPr="00646971">
        <w:rPr>
          <w:szCs w:val="24"/>
          <w:lang w:val="en-GB"/>
        </w:rPr>
        <w:t>, Vol. 33, No.3.</w:t>
      </w:r>
    </w:p>
    <w:p w:rsidR="00226D0B" w:rsidRPr="00646971" w:rsidRDefault="00226D0B" w:rsidP="00F75B84">
      <w:pPr>
        <w:spacing w:after="0"/>
        <w:contextualSpacing/>
        <w:rPr>
          <w:szCs w:val="24"/>
        </w:rPr>
      </w:pPr>
    </w:p>
    <w:p w:rsidR="00226D0B" w:rsidRPr="00646971" w:rsidRDefault="00226D0B" w:rsidP="00F75B84">
      <w:pPr>
        <w:spacing w:after="0"/>
        <w:contextualSpacing/>
        <w:rPr>
          <w:szCs w:val="24"/>
        </w:rPr>
      </w:pPr>
    </w:p>
    <w:p w:rsidR="009503A9" w:rsidRPr="009503A9" w:rsidRDefault="009503A9">
      <w:pPr>
        <w:rPr>
          <w:szCs w:val="24"/>
        </w:rPr>
      </w:pPr>
    </w:p>
    <w:sectPr w:rsidR="009503A9" w:rsidRPr="009503A9" w:rsidSect="00765963">
      <w:headerReference w:type="default" r:id="rId18"/>
      <w:footerReference w:type="default" r:id="rId19"/>
      <w:footerReference w:type="first" r:id="rId20"/>
      <w:pgSz w:w="11906" w:h="16838"/>
      <w:pgMar w:top="1440" w:right="1440" w:bottom="1440" w:left="1440" w:header="720" w:footer="720" w:gutter="0"/>
      <w:pgNumType w:start="1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FF5" w:rsidRDefault="00081FF5" w:rsidP="00996BE3">
      <w:pPr>
        <w:spacing w:before="0" w:after="0"/>
      </w:pPr>
      <w:r>
        <w:separator/>
      </w:r>
    </w:p>
  </w:endnote>
  <w:endnote w:type="continuationSeparator" w:id="0">
    <w:p w:rsidR="00081FF5" w:rsidRDefault="00081FF5" w:rsidP="00996B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649393"/>
      <w:docPartObj>
        <w:docPartGallery w:val="Page Numbers (Bottom of Page)"/>
        <w:docPartUnique/>
      </w:docPartObj>
    </w:sdtPr>
    <w:sdtEndPr>
      <w:rPr>
        <w:noProof/>
      </w:rPr>
    </w:sdtEndPr>
    <w:sdtContent>
      <w:p w:rsidR="0026755D" w:rsidRDefault="006331BF">
        <w:pPr>
          <w:pStyle w:val="Footer"/>
          <w:jc w:val="center"/>
        </w:pPr>
        <w:r>
          <w:fldChar w:fldCharType="begin"/>
        </w:r>
        <w:r w:rsidR="0026755D">
          <w:instrText xml:space="preserve"> PAGE   \* MERGEFORMAT </w:instrText>
        </w:r>
        <w:r>
          <w:fldChar w:fldCharType="separate"/>
        </w:r>
        <w:r w:rsidR="00DE10E5">
          <w:rPr>
            <w:noProof/>
          </w:rPr>
          <w:t>154</w:t>
        </w:r>
        <w:r>
          <w:rPr>
            <w:noProof/>
          </w:rPr>
          <w:fldChar w:fldCharType="end"/>
        </w:r>
      </w:p>
    </w:sdtContent>
  </w:sdt>
  <w:p w:rsidR="003D66AE" w:rsidRPr="0026755D" w:rsidRDefault="003D66AE" w:rsidP="0026755D">
    <w:pPr>
      <w:pStyle w:val="Footer"/>
      <w:tabs>
        <w:tab w:val="clear" w:pos="4680"/>
        <w:tab w:val="clear" w:pos="9360"/>
        <w:tab w:val="left" w:pos="49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026625"/>
      <w:docPartObj>
        <w:docPartGallery w:val="Page Numbers (Bottom of Page)"/>
        <w:docPartUnique/>
      </w:docPartObj>
    </w:sdtPr>
    <w:sdtEndPr>
      <w:rPr>
        <w:noProof/>
      </w:rPr>
    </w:sdtEndPr>
    <w:sdtContent>
      <w:p w:rsidR="0026755D" w:rsidRDefault="006331BF">
        <w:pPr>
          <w:pStyle w:val="Footer"/>
          <w:jc w:val="center"/>
        </w:pPr>
        <w:r>
          <w:fldChar w:fldCharType="begin"/>
        </w:r>
        <w:r w:rsidR="0026755D">
          <w:instrText xml:space="preserve"> PAGE   \* MERGEFORMAT </w:instrText>
        </w:r>
        <w:r>
          <w:fldChar w:fldCharType="separate"/>
        </w:r>
        <w:r w:rsidR="0026755D">
          <w:rPr>
            <w:noProof/>
          </w:rPr>
          <w:t>0</w:t>
        </w:r>
        <w:r>
          <w:rPr>
            <w:noProof/>
          </w:rPr>
          <w:fldChar w:fldCharType="end"/>
        </w:r>
      </w:p>
    </w:sdtContent>
  </w:sdt>
  <w:p w:rsidR="003D66AE" w:rsidRDefault="003D6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FF5" w:rsidRDefault="00081FF5" w:rsidP="00996BE3">
      <w:pPr>
        <w:spacing w:before="0" w:after="0"/>
      </w:pPr>
      <w:r>
        <w:separator/>
      </w:r>
    </w:p>
  </w:footnote>
  <w:footnote w:type="continuationSeparator" w:id="0">
    <w:p w:rsidR="00081FF5" w:rsidRDefault="00081FF5" w:rsidP="00996BE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BE3" w:rsidRPr="003D66AE" w:rsidRDefault="00ED6B6C" w:rsidP="00996BE3">
    <w:pPr>
      <w:pStyle w:val="Header"/>
      <w:jc w:val="left"/>
      <w:rPr>
        <w:sz w:val="22"/>
      </w:rPr>
    </w:pPr>
    <w:r w:rsidRPr="003D66AE">
      <w:rPr>
        <w:noProof/>
        <w:sz w:val="22"/>
      </w:rPr>
      <w:drawing>
        <wp:anchor distT="0" distB="0" distL="114300" distR="114300" simplePos="0" relativeHeight="251658240" behindDoc="0" locked="0" layoutInCell="1" allowOverlap="1" wp14:anchorId="0349FA9E" wp14:editId="48203233">
          <wp:simplePos x="0" y="0"/>
          <wp:positionH relativeFrom="margin">
            <wp:posOffset>4175760</wp:posOffset>
          </wp:positionH>
          <wp:positionV relativeFrom="margin">
            <wp:posOffset>-1009650</wp:posOffset>
          </wp:positionV>
          <wp:extent cx="1562735" cy="667385"/>
          <wp:effectExtent l="0" t="0" r="0" b="0"/>
          <wp:wrapSquare wrapText="bothSides"/>
          <wp:docPr id="2" name="Picture 1" descr="C:\Documents and Settings\liz\Desktop\IPRJ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z\Desktop\IPRJ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735" cy="667385"/>
                  </a:xfrm>
                  <a:prstGeom prst="rect">
                    <a:avLst/>
                  </a:prstGeom>
                  <a:noFill/>
                  <a:ln>
                    <a:noFill/>
                  </a:ln>
                </pic:spPr>
              </pic:pic>
            </a:graphicData>
          </a:graphic>
        </wp:anchor>
      </w:drawing>
    </w:r>
    <w:r w:rsidR="00996BE3" w:rsidRPr="003D66AE">
      <w:rPr>
        <w:sz w:val="22"/>
      </w:rPr>
      <w:t>European Journal of Business and Strategic Management</w:t>
    </w:r>
  </w:p>
  <w:p w:rsidR="00996BE3" w:rsidRPr="003D66AE" w:rsidRDefault="00996BE3" w:rsidP="00996BE3">
    <w:pPr>
      <w:pStyle w:val="Header"/>
      <w:rPr>
        <w:sz w:val="22"/>
      </w:rPr>
    </w:pPr>
    <w:r w:rsidRPr="003D66AE">
      <w:rPr>
        <w:sz w:val="22"/>
      </w:rPr>
      <w:t>ISSN 2518-265X</w:t>
    </w:r>
    <w:r w:rsidR="0026755D">
      <w:rPr>
        <w:sz w:val="22"/>
      </w:rPr>
      <w:t xml:space="preserve"> (Online)  </w:t>
    </w:r>
    <w:r w:rsidR="0026755D">
      <w:rPr>
        <w:sz w:val="22"/>
      </w:rPr>
      <w:tab/>
    </w:r>
    <w:r w:rsidR="0026755D">
      <w:rPr>
        <w:sz w:val="22"/>
      </w:rPr>
      <w:tab/>
    </w:r>
    <w:r w:rsidR="0026755D">
      <w:rPr>
        <w:sz w:val="22"/>
      </w:rPr>
      <w:br/>
      <w:t>Vol.1</w:t>
    </w:r>
    <w:r w:rsidRPr="003D66AE">
      <w:rPr>
        <w:sz w:val="22"/>
      </w:rPr>
      <w:t xml:space="preserve">, Issue </w:t>
    </w:r>
    <w:r w:rsidR="003D66AE">
      <w:rPr>
        <w:sz w:val="22"/>
      </w:rPr>
      <w:t>1</w:t>
    </w:r>
    <w:r w:rsidR="0026755D">
      <w:rPr>
        <w:sz w:val="22"/>
      </w:rPr>
      <w:t xml:space="preserve"> No.2</w:t>
    </w:r>
    <w:r w:rsidRPr="003D66AE">
      <w:rPr>
        <w:sz w:val="22"/>
      </w:rPr>
      <w:t xml:space="preserve">, pp </w:t>
    </w:r>
    <w:r w:rsidR="00765963">
      <w:rPr>
        <w:sz w:val="22"/>
      </w:rPr>
      <w:t>154</w:t>
    </w:r>
    <w:r w:rsidRPr="003D66AE">
      <w:rPr>
        <w:sz w:val="22"/>
      </w:rPr>
      <w:t>-</w:t>
    </w:r>
    <w:r w:rsidR="00765963">
      <w:rPr>
        <w:sz w:val="22"/>
      </w:rPr>
      <w:t>162</w:t>
    </w:r>
    <w:r w:rsidRPr="003D66AE">
      <w:rPr>
        <w:sz w:val="22"/>
      </w:rPr>
      <w:t>, 2016</w:t>
    </w:r>
  </w:p>
  <w:p w:rsidR="0026755D" w:rsidRDefault="00081FF5" w:rsidP="0026755D">
    <w:pPr>
      <w:pStyle w:val="Header"/>
      <w:jc w:val="right"/>
      <w:rPr>
        <w:rStyle w:val="Hyperlink"/>
        <w:sz w:val="22"/>
      </w:rPr>
    </w:pPr>
    <w:hyperlink r:id="rId2" w:history="1">
      <w:r w:rsidR="00996BE3" w:rsidRPr="003D66AE">
        <w:rPr>
          <w:rStyle w:val="Hyperlink"/>
          <w:sz w:val="22"/>
        </w:rPr>
        <w:t>www.iprjb.org</w:t>
      </w:r>
    </w:hyperlink>
  </w:p>
  <w:p w:rsidR="00996BE3" w:rsidRPr="0026755D" w:rsidRDefault="00081FF5" w:rsidP="0026755D">
    <w:pPr>
      <w:pStyle w:val="Header"/>
      <w:rPr>
        <w:color w:val="0000FF"/>
        <w:sz w:val="12"/>
        <w:u w:val="single"/>
      </w:rPr>
    </w:pPr>
    <w:r>
      <w:rPr>
        <w:noProof/>
        <w:sz w:val="22"/>
      </w:rPr>
      <w:pict>
        <v:line id="Straight Connector 4" o:spid="_x0000_s2049" style="position:absolute;left:0;text-align:left;z-index:251657216;visibility:visible;mso-wrap-distance-top:-3e-5mm;mso-wrap-distance-bottom:-3e-5mm" from="-79.5pt,3pt" to="55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1cKAIAAEQEAAAOAAAAZHJzL2Uyb0RvYy54bWysU8GO2yAQvVfqPyDfE9tZJ02sOKvWTnrZ&#10;biNl+wEEsI2KAQEbJ6r67x1wHGXbS1XVBwzM8Hjz5rF+PHcCnZixXMkiSqdJhJgkinLZFNG3l91k&#10;GSHrsKRYKMmK6MJs9Lh5/27d65zNVKsEZQYBiLR5r4uodU7ncWxJyzpsp0ozCcFamQ47WJompgb3&#10;gN6JeJYki7hXhmqjCLMWdqshGG0Cfl0z4r7WtWUOiSICbi6MJoxHP8abNc4bg3XLyZUG/gcWHeYS&#10;Lr1BVdhh9Gr4H1AdJ0ZZVbspUV2s6poTFmqAatLkt2oOLdYs1ALiWH2Tyf4/WPJ82hvEKfQuQhJ3&#10;0KKDM5g3rUOlkhIEVAZlXqde2xzSS7k3vlJylgf9pMh3i6QqWywbFvi+XDSApP5E/OaIX1gNtx37&#10;L4pCDn51Koh2rk3nIUEOdA69udx6w84OEdhcpun8IYEWkjEW43w8qI11n5nqkJ8UkeDSy4ZzfHqy&#10;zhPB+Zjit6XacSFC64VEPbBdJfMknLBKcOqjPs+a5lgKg04Y3JPtlumnKpQFkfu0jjvwsOAdsEz8&#10;N7iqZZhuJQ3XOMzFMAcqQnpwKAzIXWeDV36sktV2uV1mk2y22E6ypKomH3dlNlns0g/z6qEqyyr9&#10;6XmmWd5ySpn0VEffptnf+eL6ggbH3Zx7EyV+ix7UA7LjP5AOnfXNHGxxVPSyN2PHwaoh+fqs/Fu4&#10;X8P8/vFvfgEAAP//AwBQSwMEFAAGAAgAAAAhAOM2fTvdAAAACQEAAA8AAABkcnMvZG93bnJldi54&#10;bWxMj8FOwzAQRO9I/QdrK3FrHUdQaIhTtSDg1AOh7dmNlySqvY5itw1/j8MFTqudHc2+yVeDNeyC&#10;vW8dSRDzBBhS5XRLtYTd5+vsEZgPirQyjlDCN3pYFZObXGXaXekDL2WoWQwhnykJTQhdxrmvGrTK&#10;z12HFG9frrcqxLWvue7VNYZbw9MkWXCrWoofGtXhc4PVqTxbCWm7vxPB78xhv30Rm/Lt/fSQkpS3&#10;02H9BCzgEP7MMOJHdCgi09GdSXtmJMzE/TKWCRIWcYwGIUbh+CvwIuf/GxQ/AAAA//8DAFBLAQIt&#10;ABQABgAIAAAAIQC2gziS/gAAAOEBAAATAAAAAAAAAAAAAAAAAAAAAABbQ29udGVudF9UeXBlc10u&#10;eG1sUEsBAi0AFAAGAAgAAAAhADj9If/WAAAAlAEAAAsAAAAAAAAAAAAAAAAALwEAAF9yZWxzLy5y&#10;ZWxzUEsBAi0AFAAGAAgAAAAhAC8k/VwoAgAARAQAAA4AAAAAAAAAAAAAAAAALgIAAGRycy9lMm9E&#10;b2MueG1sUEsBAi0AFAAGAAgAAAAhAOM2fTvdAAAACQEAAA8AAAAAAAAAAAAAAAAAggQAAGRycy9k&#10;b3ducmV2LnhtbFBLBQYAAAAABAAEAPMAAACMBQAAAAA=&#10;" strokecolor="#4f81bd" strokeweight="1.5pt">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D467E"/>
    <w:multiLevelType w:val="hybridMultilevel"/>
    <w:tmpl w:val="24E2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BD65BE"/>
    <w:multiLevelType w:val="hybridMultilevel"/>
    <w:tmpl w:val="732E4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77771C"/>
    <w:multiLevelType w:val="hybridMultilevel"/>
    <w:tmpl w:val="A358D68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B0B81"/>
    <w:rsid w:val="00081FF5"/>
    <w:rsid w:val="000A38CA"/>
    <w:rsid w:val="000C1864"/>
    <w:rsid w:val="000D0762"/>
    <w:rsid w:val="000D4474"/>
    <w:rsid w:val="000D52B6"/>
    <w:rsid w:val="000E468D"/>
    <w:rsid w:val="001A34D6"/>
    <w:rsid w:val="001D6094"/>
    <w:rsid w:val="001D6A73"/>
    <w:rsid w:val="001D7FBB"/>
    <w:rsid w:val="001F3AAC"/>
    <w:rsid w:val="00226D0B"/>
    <w:rsid w:val="00243503"/>
    <w:rsid w:val="00245F2F"/>
    <w:rsid w:val="0026755D"/>
    <w:rsid w:val="00376C7A"/>
    <w:rsid w:val="003A0520"/>
    <w:rsid w:val="003A2EDF"/>
    <w:rsid w:val="003A393A"/>
    <w:rsid w:val="003D66AE"/>
    <w:rsid w:val="00416B75"/>
    <w:rsid w:val="004333D5"/>
    <w:rsid w:val="00446DAF"/>
    <w:rsid w:val="00462FEF"/>
    <w:rsid w:val="00482FDF"/>
    <w:rsid w:val="004F4329"/>
    <w:rsid w:val="005215D0"/>
    <w:rsid w:val="0056752F"/>
    <w:rsid w:val="005737CD"/>
    <w:rsid w:val="005936B6"/>
    <w:rsid w:val="006331BF"/>
    <w:rsid w:val="00751A58"/>
    <w:rsid w:val="00765963"/>
    <w:rsid w:val="007B383D"/>
    <w:rsid w:val="007B73E1"/>
    <w:rsid w:val="007C290A"/>
    <w:rsid w:val="007C417E"/>
    <w:rsid w:val="007D113A"/>
    <w:rsid w:val="0082694E"/>
    <w:rsid w:val="008418E9"/>
    <w:rsid w:val="00881E03"/>
    <w:rsid w:val="00896F7E"/>
    <w:rsid w:val="00933155"/>
    <w:rsid w:val="009503A9"/>
    <w:rsid w:val="0095444E"/>
    <w:rsid w:val="00983C1D"/>
    <w:rsid w:val="00996BE3"/>
    <w:rsid w:val="009D3E6B"/>
    <w:rsid w:val="00A4079B"/>
    <w:rsid w:val="00B1259B"/>
    <w:rsid w:val="00B35FBE"/>
    <w:rsid w:val="00B67CC3"/>
    <w:rsid w:val="00C050DF"/>
    <w:rsid w:val="00CC44F6"/>
    <w:rsid w:val="00D4010E"/>
    <w:rsid w:val="00DA118A"/>
    <w:rsid w:val="00DB0B81"/>
    <w:rsid w:val="00DD5BBC"/>
    <w:rsid w:val="00DE10E5"/>
    <w:rsid w:val="00E369A5"/>
    <w:rsid w:val="00EA0859"/>
    <w:rsid w:val="00EB4605"/>
    <w:rsid w:val="00ED6B6C"/>
    <w:rsid w:val="00F72917"/>
    <w:rsid w:val="00F73EFA"/>
    <w:rsid w:val="00F75B84"/>
    <w:rsid w:val="00F813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AC93379-0F6D-4575-83D4-DBE004F9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59B"/>
    <w:pPr>
      <w:spacing w:before="75" w:after="75"/>
      <w:jc w:val="both"/>
    </w:pPr>
    <w:rPr>
      <w:rFonts w:ascii="Times New Roman" w:hAnsi="Times New Roman"/>
      <w:sz w:val="24"/>
      <w:szCs w:val="22"/>
    </w:rPr>
  </w:style>
  <w:style w:type="paragraph" w:styleId="Heading1">
    <w:name w:val="heading 1"/>
    <w:basedOn w:val="Normal"/>
    <w:next w:val="Normal"/>
    <w:link w:val="Heading1Char"/>
    <w:uiPriority w:val="9"/>
    <w:qFormat/>
    <w:rsid w:val="001A34D6"/>
    <w:pPr>
      <w:keepNext/>
      <w:keepLines/>
      <w:spacing w:before="225"/>
      <w:outlineLvl w:val="0"/>
    </w:pPr>
    <w:rPr>
      <w:rFonts w:eastAsia="Times New Roman"/>
      <w:b/>
      <w:bCs/>
      <w:szCs w:val="28"/>
    </w:rPr>
  </w:style>
  <w:style w:type="paragraph" w:styleId="Heading2">
    <w:name w:val="heading 2"/>
    <w:basedOn w:val="Normal"/>
    <w:next w:val="Normal"/>
    <w:link w:val="Heading2Char"/>
    <w:uiPriority w:val="9"/>
    <w:unhideWhenUsed/>
    <w:qFormat/>
    <w:rsid w:val="001A34D6"/>
    <w:pPr>
      <w:keepNext/>
      <w:outlineLvl w:val="1"/>
    </w:pPr>
    <w:rPr>
      <w:rFonts w:eastAsia="Times New Roman"/>
      <w:b/>
      <w:bCs/>
      <w:iCs/>
      <w:szCs w:val="28"/>
    </w:rPr>
  </w:style>
  <w:style w:type="paragraph" w:styleId="Heading3">
    <w:name w:val="heading 3"/>
    <w:basedOn w:val="Normal"/>
    <w:next w:val="Normal"/>
    <w:link w:val="Heading3Char"/>
    <w:uiPriority w:val="9"/>
    <w:unhideWhenUsed/>
    <w:qFormat/>
    <w:rsid w:val="00B1259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B1259B"/>
    <w:pPr>
      <w:keepNext/>
      <w:outlineLvl w:val="3"/>
    </w:pPr>
    <w:rPr>
      <w:rFonts w:eastAsia="Times New Roman"/>
      <w:b/>
      <w:bCs/>
      <w:szCs w:val="28"/>
    </w:rPr>
  </w:style>
  <w:style w:type="paragraph" w:styleId="Heading5">
    <w:name w:val="heading 5"/>
    <w:basedOn w:val="Normal"/>
    <w:next w:val="Normal"/>
    <w:link w:val="Heading5Char"/>
    <w:uiPriority w:val="9"/>
    <w:unhideWhenUsed/>
    <w:qFormat/>
    <w:rsid w:val="00B1259B"/>
    <w:pPr>
      <w:outlineLvl w:val="4"/>
    </w:pPr>
    <w:rPr>
      <w:rFonts w:eastAsia="Times New Roman"/>
      <w:b/>
      <w:bCs/>
      <w:iCs/>
      <w:szCs w:val="26"/>
    </w:rPr>
  </w:style>
  <w:style w:type="paragraph" w:styleId="Heading8">
    <w:name w:val="heading 8"/>
    <w:basedOn w:val="Normal"/>
    <w:next w:val="Normal"/>
    <w:link w:val="Heading8Char"/>
    <w:uiPriority w:val="9"/>
    <w:semiHidden/>
    <w:unhideWhenUsed/>
    <w:qFormat/>
    <w:rsid w:val="00F8133D"/>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34D6"/>
    <w:rPr>
      <w:rFonts w:ascii="Times New Roman" w:eastAsia="Times New Roman" w:hAnsi="Times New Roman"/>
      <w:b/>
      <w:bCs/>
      <w:sz w:val="24"/>
      <w:szCs w:val="28"/>
    </w:rPr>
  </w:style>
  <w:style w:type="paragraph" w:styleId="Subtitle">
    <w:name w:val="Subtitle"/>
    <w:basedOn w:val="Normal"/>
    <w:next w:val="Normal"/>
    <w:link w:val="SubtitleChar"/>
    <w:uiPriority w:val="11"/>
    <w:qFormat/>
    <w:rsid w:val="00CC44F6"/>
    <w:pPr>
      <w:spacing w:after="60"/>
      <w:jc w:val="center"/>
      <w:outlineLvl w:val="1"/>
    </w:pPr>
    <w:rPr>
      <w:rFonts w:ascii="Cambria" w:eastAsia="Times New Roman" w:hAnsi="Cambria"/>
      <w:szCs w:val="24"/>
    </w:rPr>
  </w:style>
  <w:style w:type="character" w:customStyle="1" w:styleId="SubtitleChar">
    <w:name w:val="Subtitle Char"/>
    <w:link w:val="Subtitle"/>
    <w:uiPriority w:val="11"/>
    <w:rsid w:val="00CC44F6"/>
    <w:rPr>
      <w:rFonts w:ascii="Cambria" w:eastAsia="Times New Roman" w:hAnsi="Cambria" w:cs="Times New Roman"/>
      <w:sz w:val="24"/>
      <w:szCs w:val="24"/>
      <w:lang w:val="en-US"/>
    </w:rPr>
  </w:style>
  <w:style w:type="character" w:customStyle="1" w:styleId="Heading2Char">
    <w:name w:val="Heading 2 Char"/>
    <w:link w:val="Heading2"/>
    <w:uiPriority w:val="9"/>
    <w:rsid w:val="001A34D6"/>
    <w:rPr>
      <w:rFonts w:ascii="Times New Roman" w:eastAsia="Times New Roman" w:hAnsi="Times New Roman"/>
      <w:b/>
      <w:bCs/>
      <w:iCs/>
      <w:sz w:val="24"/>
      <w:szCs w:val="28"/>
    </w:rPr>
  </w:style>
  <w:style w:type="paragraph" w:styleId="Caption">
    <w:name w:val="caption"/>
    <w:basedOn w:val="Normal"/>
    <w:next w:val="Normal"/>
    <w:autoRedefine/>
    <w:uiPriority w:val="35"/>
    <w:unhideWhenUsed/>
    <w:qFormat/>
    <w:rsid w:val="007B383D"/>
    <w:rPr>
      <w:bCs/>
      <w:szCs w:val="24"/>
      <w:lang w:val="en-CA" w:eastAsia="en-CA"/>
    </w:rPr>
  </w:style>
  <w:style w:type="paragraph" w:styleId="BalloonText">
    <w:name w:val="Balloon Text"/>
    <w:basedOn w:val="Normal"/>
    <w:link w:val="BalloonTextChar"/>
    <w:uiPriority w:val="99"/>
    <w:semiHidden/>
    <w:unhideWhenUsed/>
    <w:rsid w:val="0082694E"/>
    <w:pPr>
      <w:spacing w:after="0"/>
    </w:pPr>
    <w:rPr>
      <w:rFonts w:ascii="Tahoma" w:hAnsi="Tahoma" w:cs="Tahoma"/>
      <w:sz w:val="16"/>
      <w:szCs w:val="16"/>
    </w:rPr>
  </w:style>
  <w:style w:type="character" w:customStyle="1" w:styleId="BalloonTextChar">
    <w:name w:val="Balloon Text Char"/>
    <w:link w:val="BalloonText"/>
    <w:uiPriority w:val="99"/>
    <w:semiHidden/>
    <w:rsid w:val="0082694E"/>
    <w:rPr>
      <w:rFonts w:ascii="Tahoma" w:eastAsia="Calibri" w:hAnsi="Tahoma" w:cs="Tahoma"/>
      <w:sz w:val="16"/>
      <w:szCs w:val="16"/>
      <w:lang w:val="en-US"/>
    </w:rPr>
  </w:style>
  <w:style w:type="paragraph" w:styleId="ListParagraph">
    <w:name w:val="List Paragraph"/>
    <w:basedOn w:val="Normal"/>
    <w:uiPriority w:val="34"/>
    <w:qFormat/>
    <w:rsid w:val="00F8133D"/>
    <w:pPr>
      <w:ind w:left="720"/>
      <w:contextualSpacing/>
    </w:pPr>
  </w:style>
  <w:style w:type="character" w:customStyle="1" w:styleId="Heading8Char">
    <w:name w:val="Heading 8 Char"/>
    <w:link w:val="Heading8"/>
    <w:uiPriority w:val="9"/>
    <w:rsid w:val="00F8133D"/>
    <w:rPr>
      <w:rFonts w:ascii="Cambria" w:eastAsia="Times New Roman" w:hAnsi="Cambria" w:cs="Times New Roman"/>
      <w:color w:val="404040"/>
      <w:sz w:val="20"/>
      <w:szCs w:val="20"/>
      <w:lang w:val="en-US"/>
    </w:rPr>
  </w:style>
  <w:style w:type="character" w:styleId="Hyperlink">
    <w:name w:val="Hyperlink"/>
    <w:uiPriority w:val="99"/>
    <w:unhideWhenUsed/>
    <w:rsid w:val="00226D0B"/>
    <w:rPr>
      <w:color w:val="0000FF"/>
      <w:u w:val="single"/>
    </w:rPr>
  </w:style>
  <w:style w:type="character" w:styleId="Emphasis">
    <w:name w:val="Emphasis"/>
    <w:uiPriority w:val="20"/>
    <w:qFormat/>
    <w:rsid w:val="00226D0B"/>
    <w:rPr>
      <w:i/>
      <w:iCs/>
    </w:rPr>
  </w:style>
  <w:style w:type="paragraph" w:styleId="DocumentMap">
    <w:name w:val="Document Map"/>
    <w:basedOn w:val="Normal"/>
    <w:link w:val="DocumentMapChar"/>
    <w:uiPriority w:val="99"/>
    <w:semiHidden/>
    <w:unhideWhenUsed/>
    <w:rsid w:val="00243503"/>
    <w:rPr>
      <w:rFonts w:ascii="Tahoma" w:hAnsi="Tahoma" w:cs="Tahoma"/>
      <w:sz w:val="16"/>
      <w:szCs w:val="16"/>
    </w:rPr>
  </w:style>
  <w:style w:type="character" w:customStyle="1" w:styleId="DocumentMapChar">
    <w:name w:val="Document Map Char"/>
    <w:link w:val="DocumentMap"/>
    <w:uiPriority w:val="99"/>
    <w:semiHidden/>
    <w:rsid w:val="00243503"/>
    <w:rPr>
      <w:rFonts w:ascii="Tahoma" w:hAnsi="Tahoma" w:cs="Tahoma"/>
      <w:sz w:val="16"/>
      <w:szCs w:val="16"/>
    </w:rPr>
  </w:style>
  <w:style w:type="character" w:customStyle="1" w:styleId="Heading3Char">
    <w:name w:val="Heading 3 Char"/>
    <w:link w:val="Heading3"/>
    <w:uiPriority w:val="9"/>
    <w:rsid w:val="00B1259B"/>
    <w:rPr>
      <w:rFonts w:ascii="Cambria" w:eastAsia="Times New Roman" w:hAnsi="Cambria" w:cs="Times New Roman"/>
      <w:b/>
      <w:bCs/>
      <w:sz w:val="26"/>
      <w:szCs w:val="26"/>
    </w:rPr>
  </w:style>
  <w:style w:type="character" w:customStyle="1" w:styleId="Heading4Char">
    <w:name w:val="Heading 4 Char"/>
    <w:link w:val="Heading4"/>
    <w:uiPriority w:val="9"/>
    <w:rsid w:val="00B1259B"/>
    <w:rPr>
      <w:rFonts w:ascii="Times New Roman" w:eastAsia="Times New Roman" w:hAnsi="Times New Roman" w:cs="Times New Roman"/>
      <w:b/>
      <w:bCs/>
      <w:sz w:val="24"/>
      <w:szCs w:val="28"/>
    </w:rPr>
  </w:style>
  <w:style w:type="character" w:customStyle="1" w:styleId="Heading5Char">
    <w:name w:val="Heading 5 Char"/>
    <w:link w:val="Heading5"/>
    <w:uiPriority w:val="9"/>
    <w:rsid w:val="00B1259B"/>
    <w:rPr>
      <w:rFonts w:ascii="Times New Roman" w:eastAsia="Times New Roman" w:hAnsi="Times New Roman" w:cs="Times New Roman"/>
      <w:b/>
      <w:bCs/>
      <w:iCs/>
      <w:sz w:val="24"/>
      <w:szCs w:val="26"/>
    </w:rPr>
  </w:style>
  <w:style w:type="paragraph" w:styleId="Header">
    <w:name w:val="header"/>
    <w:basedOn w:val="Normal"/>
    <w:link w:val="HeaderChar"/>
    <w:uiPriority w:val="99"/>
    <w:unhideWhenUsed/>
    <w:rsid w:val="00996BE3"/>
    <w:pPr>
      <w:tabs>
        <w:tab w:val="center" w:pos="4680"/>
        <w:tab w:val="right" w:pos="9360"/>
      </w:tabs>
    </w:pPr>
  </w:style>
  <w:style w:type="character" w:customStyle="1" w:styleId="HeaderChar">
    <w:name w:val="Header Char"/>
    <w:link w:val="Header"/>
    <w:uiPriority w:val="99"/>
    <w:rsid w:val="00996BE3"/>
    <w:rPr>
      <w:rFonts w:ascii="Times New Roman" w:hAnsi="Times New Roman"/>
      <w:sz w:val="24"/>
      <w:szCs w:val="22"/>
    </w:rPr>
  </w:style>
  <w:style w:type="paragraph" w:styleId="Footer">
    <w:name w:val="footer"/>
    <w:basedOn w:val="Normal"/>
    <w:link w:val="FooterChar"/>
    <w:uiPriority w:val="99"/>
    <w:unhideWhenUsed/>
    <w:rsid w:val="00996BE3"/>
    <w:pPr>
      <w:tabs>
        <w:tab w:val="center" w:pos="4680"/>
        <w:tab w:val="right" w:pos="9360"/>
      </w:tabs>
    </w:pPr>
  </w:style>
  <w:style w:type="character" w:customStyle="1" w:styleId="FooterChar">
    <w:name w:val="Footer Char"/>
    <w:link w:val="Footer"/>
    <w:uiPriority w:val="99"/>
    <w:rsid w:val="00996BE3"/>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3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jad11@gmail.com" TargetMode="External"/><Relationship Id="rId13" Type="http://schemas.openxmlformats.org/officeDocument/2006/relationships/hyperlink" Target="http://www.kpmgafrica.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globalpolicyjournal.com/" TargetMode="External"/><Relationship Id="rId17" Type="http://schemas.openxmlformats.org/officeDocument/2006/relationships/hyperlink" Target="http://oilprice.com/Latest-Energy-%09News/" TargetMode="External"/><Relationship Id="rId2" Type="http://schemas.openxmlformats.org/officeDocument/2006/relationships/styles" Target="styles.xml"/><Relationship Id="rId16" Type="http://schemas.openxmlformats.org/officeDocument/2006/relationships/hyperlink" Target="http://www.abtassociates.com/AbtAssociates/fil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abri.com/manuscripts/" TargetMode="External"/><Relationship Id="rId5" Type="http://schemas.openxmlformats.org/officeDocument/2006/relationships/footnotes" Target="footnotes.xml"/><Relationship Id="rId15" Type="http://schemas.openxmlformats.org/officeDocument/2006/relationships/hyperlink" Target="http://www.iima.org" TargetMode="External"/><Relationship Id="rId10" Type="http://schemas.openxmlformats.org/officeDocument/2006/relationships/hyperlink" Target="http://www.bsr.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blogs.wsj.com/frontie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prjb.org"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stacked"/>
        <c:varyColors val="1"/>
        <c:ser>
          <c:idx val="0"/>
          <c:order val="0"/>
          <c:invertIfNegative val="1"/>
          <c:cat>
            <c:strRef>
              <c:f>Sheet1!$J$65:$J$69</c:f>
              <c:strCache>
                <c:ptCount val="5"/>
                <c:pt idx="0">
                  <c:v>Very great extent</c:v>
                </c:pt>
                <c:pt idx="1">
                  <c:v>Great extent</c:v>
                </c:pt>
                <c:pt idx="2">
                  <c:v>Average </c:v>
                </c:pt>
                <c:pt idx="3">
                  <c:v>Little extent</c:v>
                </c:pt>
                <c:pt idx="4">
                  <c:v>No extent</c:v>
                </c:pt>
              </c:strCache>
            </c:strRef>
          </c:cat>
          <c:val>
            <c:numRef>
              <c:f>Sheet1!$K$65:$K$69</c:f>
              <c:numCache>
                <c:formatCode>General</c:formatCode>
                <c:ptCount val="5"/>
                <c:pt idx="0">
                  <c:v>10</c:v>
                </c:pt>
                <c:pt idx="1">
                  <c:v>51</c:v>
                </c:pt>
                <c:pt idx="2">
                  <c:v>20</c:v>
                </c:pt>
                <c:pt idx="3">
                  <c:v>10</c:v>
                </c:pt>
                <c:pt idx="4">
                  <c:v>8</c:v>
                </c:pt>
              </c:numCache>
            </c:numRef>
          </c:val>
        </c:ser>
        <c:dLbls>
          <c:showLegendKey val="0"/>
          <c:showVal val="0"/>
          <c:showCatName val="0"/>
          <c:showSerName val="0"/>
          <c:showPercent val="0"/>
          <c:showBubbleSize val="0"/>
        </c:dLbls>
        <c:gapWidth val="75"/>
        <c:shape val="box"/>
        <c:axId val="1063945232"/>
        <c:axId val="1063946864"/>
        <c:axId val="0"/>
      </c:bar3DChart>
      <c:catAx>
        <c:axId val="1063945232"/>
        <c:scaling>
          <c:orientation val="minMax"/>
        </c:scaling>
        <c:delete val="1"/>
        <c:axPos val="b"/>
        <c:numFmt formatCode="General" sourceLinked="0"/>
        <c:majorTickMark val="none"/>
        <c:minorTickMark val="cross"/>
        <c:tickLblPos val="nextTo"/>
        <c:crossAx val="1063946864"/>
        <c:crosses val="autoZero"/>
        <c:auto val="1"/>
        <c:lblAlgn val="ctr"/>
        <c:lblOffset val="100"/>
        <c:noMultiLvlLbl val="1"/>
      </c:catAx>
      <c:valAx>
        <c:axId val="1063946864"/>
        <c:scaling>
          <c:orientation val="minMax"/>
        </c:scaling>
        <c:delete val="1"/>
        <c:axPos val="l"/>
        <c:majorGridlines/>
        <c:numFmt formatCode="General" sourceLinked="1"/>
        <c:majorTickMark val="none"/>
        <c:minorTickMark val="cross"/>
        <c:tickLblPos val="nextTo"/>
        <c:crossAx val="1063945232"/>
        <c:crosses val="autoZero"/>
        <c:crossBetween val="between"/>
      </c:valAx>
    </c:plotArea>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3906</Words>
  <Characters>22266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26120</CharactersWithSpaces>
  <SharedDoc>false</SharedDoc>
  <HLinks>
    <vt:vector size="60" baseType="variant">
      <vt:variant>
        <vt:i4>7012411</vt:i4>
      </vt:variant>
      <vt:variant>
        <vt:i4>24</vt:i4>
      </vt:variant>
      <vt:variant>
        <vt:i4>0</vt:i4>
      </vt:variant>
      <vt:variant>
        <vt:i4>5</vt:i4>
      </vt:variant>
      <vt:variant>
        <vt:lpwstr>http://oilprice.com/Latest-Energy-%09News/</vt:lpwstr>
      </vt:variant>
      <vt:variant>
        <vt:lpwstr/>
      </vt:variant>
      <vt:variant>
        <vt:i4>6029341</vt:i4>
      </vt:variant>
      <vt:variant>
        <vt:i4>21</vt:i4>
      </vt:variant>
      <vt:variant>
        <vt:i4>0</vt:i4>
      </vt:variant>
      <vt:variant>
        <vt:i4>5</vt:i4>
      </vt:variant>
      <vt:variant>
        <vt:lpwstr>http://www.abtassociates.com/AbtAssociates/files</vt:lpwstr>
      </vt:variant>
      <vt:variant>
        <vt:lpwstr/>
      </vt:variant>
      <vt:variant>
        <vt:i4>6029392</vt:i4>
      </vt:variant>
      <vt:variant>
        <vt:i4>18</vt:i4>
      </vt:variant>
      <vt:variant>
        <vt:i4>0</vt:i4>
      </vt:variant>
      <vt:variant>
        <vt:i4>5</vt:i4>
      </vt:variant>
      <vt:variant>
        <vt:lpwstr>http://www.iima.org/</vt:lpwstr>
      </vt:variant>
      <vt:variant>
        <vt:lpwstr/>
      </vt:variant>
      <vt:variant>
        <vt:i4>2949174</vt:i4>
      </vt:variant>
      <vt:variant>
        <vt:i4>15</vt:i4>
      </vt:variant>
      <vt:variant>
        <vt:i4>0</vt:i4>
      </vt:variant>
      <vt:variant>
        <vt:i4>5</vt:i4>
      </vt:variant>
      <vt:variant>
        <vt:lpwstr>http://blogs.wsj.com/frontiers/</vt:lpwstr>
      </vt:variant>
      <vt:variant>
        <vt:lpwstr/>
      </vt:variant>
      <vt:variant>
        <vt:i4>3342375</vt:i4>
      </vt:variant>
      <vt:variant>
        <vt:i4>12</vt:i4>
      </vt:variant>
      <vt:variant>
        <vt:i4>0</vt:i4>
      </vt:variant>
      <vt:variant>
        <vt:i4>5</vt:i4>
      </vt:variant>
      <vt:variant>
        <vt:lpwstr>http://www.kpmgafrica.com/</vt:lpwstr>
      </vt:variant>
      <vt:variant>
        <vt:lpwstr/>
      </vt:variant>
      <vt:variant>
        <vt:i4>3014768</vt:i4>
      </vt:variant>
      <vt:variant>
        <vt:i4>9</vt:i4>
      </vt:variant>
      <vt:variant>
        <vt:i4>0</vt:i4>
      </vt:variant>
      <vt:variant>
        <vt:i4>5</vt:i4>
      </vt:variant>
      <vt:variant>
        <vt:lpwstr>http://www.globalpolicyjournal.com/</vt:lpwstr>
      </vt:variant>
      <vt:variant>
        <vt:lpwstr/>
      </vt:variant>
      <vt:variant>
        <vt:i4>5111879</vt:i4>
      </vt:variant>
      <vt:variant>
        <vt:i4>6</vt:i4>
      </vt:variant>
      <vt:variant>
        <vt:i4>0</vt:i4>
      </vt:variant>
      <vt:variant>
        <vt:i4>5</vt:i4>
      </vt:variant>
      <vt:variant>
        <vt:lpwstr>http://www.aabri.com/manuscripts/</vt:lpwstr>
      </vt:variant>
      <vt:variant>
        <vt:lpwstr/>
      </vt:variant>
      <vt:variant>
        <vt:i4>3342463</vt:i4>
      </vt:variant>
      <vt:variant>
        <vt:i4>3</vt:i4>
      </vt:variant>
      <vt:variant>
        <vt:i4>0</vt:i4>
      </vt:variant>
      <vt:variant>
        <vt:i4>5</vt:i4>
      </vt:variant>
      <vt:variant>
        <vt:lpwstr>http://www.bsr.org/</vt:lpwstr>
      </vt:variant>
      <vt:variant>
        <vt:lpwstr/>
      </vt:variant>
      <vt:variant>
        <vt:i4>3407893</vt:i4>
      </vt:variant>
      <vt:variant>
        <vt:i4>0</vt:i4>
      </vt:variant>
      <vt:variant>
        <vt:i4>0</vt:i4>
      </vt:variant>
      <vt:variant>
        <vt:i4>5</vt:i4>
      </vt:variant>
      <vt:variant>
        <vt:lpwstr>mailto:minjad11@gmail.com</vt:lpwstr>
      </vt:variant>
      <vt:variant>
        <vt:lpwstr/>
      </vt:variant>
      <vt:variant>
        <vt:i4>5898262</vt:i4>
      </vt:variant>
      <vt:variant>
        <vt:i4>0</vt:i4>
      </vt:variant>
      <vt:variant>
        <vt:i4>0</vt:i4>
      </vt:variant>
      <vt:variant>
        <vt:i4>5</vt:i4>
      </vt:variant>
      <vt:variant>
        <vt:lpwstr>http://www.iprjb.org/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Mwaniki adm</dc:creator>
  <cp:lastModifiedBy>reviewer</cp:lastModifiedBy>
  <cp:revision>18</cp:revision>
  <cp:lastPrinted>2016-08-31T07:22:00Z</cp:lastPrinted>
  <dcterms:created xsi:type="dcterms:W3CDTF">2016-08-25T14:07:00Z</dcterms:created>
  <dcterms:modified xsi:type="dcterms:W3CDTF">2025-09-02T21:15:00Z</dcterms:modified>
</cp:coreProperties>
</file>