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210" w:rsidRPr="001D33D4" w:rsidRDefault="00412E39" w:rsidP="001D33D4">
      <w:pPr>
        <w:spacing w:before="100" w:after="100" w:line="240" w:lineRule="auto"/>
        <w:jc w:val="both"/>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1D487D59" wp14:editId="00FD76C8">
            <wp:simplePos x="0" y="0"/>
            <wp:positionH relativeFrom="page">
              <wp:align>right</wp:align>
            </wp:positionH>
            <wp:positionV relativeFrom="margin">
              <wp:posOffset>-2393315</wp:posOffset>
            </wp:positionV>
            <wp:extent cx="7886700" cy="10887075"/>
            <wp:effectExtent l="0" t="0" r="0" b="9525"/>
            <wp:wrapNone/>
            <wp:docPr id="2" name="Picture 16" descr="C:\Users\Liz\AppData\Local\Temp\JP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iz\AppData\Local\Temp\JPI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86700" cy="10887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F82561" w:rsidRDefault="00F82561" w:rsidP="00F82561">
      <w:pPr>
        <w:spacing w:before="100" w:after="100" w:line="240" w:lineRule="auto"/>
        <w:jc w:val="both"/>
        <w:rPr>
          <w:rFonts w:ascii="Times New Roman" w:hAnsi="Times New Roman" w:cs="Times New Roman"/>
          <w:b/>
          <w:sz w:val="20"/>
          <w:szCs w:val="20"/>
        </w:rPr>
      </w:pPr>
    </w:p>
    <w:p w:rsidR="00F82561" w:rsidRDefault="00F82561" w:rsidP="00F82561">
      <w:pPr>
        <w:spacing w:before="100" w:after="100" w:line="240" w:lineRule="auto"/>
        <w:jc w:val="both"/>
        <w:rPr>
          <w:rFonts w:ascii="Times New Roman" w:hAnsi="Times New Roman" w:cs="Times New Roman"/>
          <w:b/>
          <w:sz w:val="20"/>
          <w:szCs w:val="20"/>
        </w:rPr>
      </w:pPr>
    </w:p>
    <w:p w:rsidR="00F82561" w:rsidRDefault="00F82561" w:rsidP="00F82561">
      <w:pPr>
        <w:spacing w:before="100" w:after="100" w:line="240" w:lineRule="auto"/>
        <w:jc w:val="both"/>
        <w:rPr>
          <w:rFonts w:ascii="Times New Roman" w:hAnsi="Times New Roman" w:cs="Times New Roman"/>
          <w:b/>
          <w:sz w:val="20"/>
          <w:szCs w:val="20"/>
        </w:rPr>
      </w:pPr>
    </w:p>
    <w:p w:rsidR="00F82561" w:rsidRDefault="00F82561" w:rsidP="00F82561">
      <w:pPr>
        <w:spacing w:before="100" w:after="100" w:line="240" w:lineRule="auto"/>
        <w:jc w:val="both"/>
        <w:rPr>
          <w:rFonts w:ascii="Times New Roman" w:hAnsi="Times New Roman" w:cs="Times New Roman"/>
          <w:b/>
          <w:sz w:val="20"/>
          <w:szCs w:val="20"/>
        </w:rPr>
      </w:pPr>
    </w:p>
    <w:p w:rsidR="00F82561" w:rsidRDefault="00F82561" w:rsidP="00F82561">
      <w:pPr>
        <w:spacing w:before="100" w:after="100" w:line="240" w:lineRule="auto"/>
        <w:jc w:val="center"/>
        <w:rPr>
          <w:rFonts w:ascii="Times New Roman" w:hAnsi="Times New Roman" w:cs="Times New Roman"/>
          <w:b/>
          <w:sz w:val="20"/>
          <w:szCs w:val="20"/>
        </w:rPr>
      </w:pPr>
    </w:p>
    <w:p w:rsidR="00F82561" w:rsidRDefault="00F82561" w:rsidP="00F82561">
      <w:pPr>
        <w:spacing w:before="100" w:after="100" w:line="240" w:lineRule="auto"/>
        <w:jc w:val="center"/>
        <w:rPr>
          <w:sz w:val="32"/>
          <w:szCs w:val="32"/>
        </w:rPr>
      </w:pPr>
      <w:r w:rsidRPr="00F82561">
        <w:rPr>
          <w:rFonts w:ascii="Times New Roman" w:hAnsi="Times New Roman" w:cs="Times New Roman"/>
          <w:b/>
          <w:sz w:val="32"/>
          <w:szCs w:val="32"/>
        </w:rPr>
        <w:t xml:space="preserve">Infrastructure Investment and Urban Development </w:t>
      </w:r>
      <w:r w:rsidRPr="00F83210">
        <w:rPr>
          <w:rFonts w:ascii="Times New Roman" w:hAnsi="Times New Roman" w:cs="Times New Roman"/>
          <w:b/>
          <w:sz w:val="32"/>
          <w:szCs w:val="32"/>
        </w:rPr>
        <w:t>in China</w:t>
      </w:r>
      <w:r w:rsidRPr="00F82561">
        <w:rPr>
          <w:sz w:val="32"/>
          <w:szCs w:val="32"/>
        </w:rPr>
        <w:t xml:space="preserve"> </w:t>
      </w:r>
    </w:p>
    <w:p w:rsidR="00F82561" w:rsidRDefault="00F82561" w:rsidP="00F82561">
      <w:pPr>
        <w:spacing w:before="100" w:after="100" w:line="240" w:lineRule="auto"/>
        <w:jc w:val="center"/>
        <w:rPr>
          <w:sz w:val="32"/>
          <w:szCs w:val="32"/>
        </w:rPr>
      </w:pPr>
    </w:p>
    <w:p w:rsidR="00F82561" w:rsidRDefault="00F82561" w:rsidP="00F82561">
      <w:pPr>
        <w:spacing w:before="100" w:after="100" w:line="240" w:lineRule="auto"/>
        <w:jc w:val="center"/>
        <w:rPr>
          <w:sz w:val="32"/>
          <w:szCs w:val="32"/>
        </w:rPr>
      </w:pPr>
    </w:p>
    <w:p w:rsidR="00F82561" w:rsidRPr="00F83210" w:rsidRDefault="00F82561" w:rsidP="00F82561">
      <w:pPr>
        <w:spacing w:before="100" w:after="100" w:line="240" w:lineRule="auto"/>
        <w:jc w:val="center"/>
        <w:rPr>
          <w:rFonts w:ascii="Times New Roman" w:hAnsi="Times New Roman" w:cs="Times New Roman"/>
          <w:sz w:val="32"/>
          <w:szCs w:val="32"/>
        </w:rPr>
      </w:pPr>
      <w:r w:rsidRPr="00F82561">
        <w:rPr>
          <w:rFonts w:ascii="Times New Roman" w:hAnsi="Times New Roman" w:cs="Times New Roman"/>
          <w:sz w:val="32"/>
          <w:szCs w:val="32"/>
        </w:rPr>
        <w:t>Long Jian</w:t>
      </w: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D32F61" w:rsidRDefault="00D32F61" w:rsidP="001D33D4">
      <w:pPr>
        <w:spacing w:before="100" w:after="100" w:line="240" w:lineRule="auto"/>
        <w:jc w:val="both"/>
        <w:rPr>
          <w:rFonts w:ascii="Times New Roman" w:hAnsi="Times New Roman" w:cs="Times New Roman"/>
          <w:b/>
          <w:sz w:val="24"/>
          <w:szCs w:val="24"/>
        </w:rPr>
      </w:pPr>
    </w:p>
    <w:p w:rsidR="00F82561" w:rsidRDefault="00F82561" w:rsidP="00F82561">
      <w:pPr>
        <w:spacing w:before="100" w:after="100" w:line="240" w:lineRule="auto"/>
        <w:jc w:val="center"/>
        <w:rPr>
          <w:rFonts w:ascii="Times New Roman" w:hAnsi="Times New Roman" w:cs="Times New Roman"/>
          <w:b/>
          <w:sz w:val="20"/>
          <w:szCs w:val="20"/>
        </w:rPr>
        <w:sectPr w:rsidR="00F82561" w:rsidSect="00F82561">
          <w:headerReference w:type="default" r:id="rId7"/>
          <w:footerReference w:type="default" r:id="rId8"/>
          <w:pgSz w:w="12240" w:h="15840"/>
          <w:pgMar w:top="1440" w:right="1440" w:bottom="1440" w:left="1440" w:header="720" w:footer="720" w:gutter="0"/>
          <w:pgNumType w:start="36"/>
          <w:cols w:space="720"/>
          <w:docGrid w:linePitch="360"/>
        </w:sectPr>
      </w:pPr>
    </w:p>
    <w:p w:rsidR="0043297F" w:rsidRPr="0043297F" w:rsidRDefault="00F82561" w:rsidP="00F82561">
      <w:pPr>
        <w:spacing w:before="100" w:after="100" w:line="240" w:lineRule="auto"/>
        <w:jc w:val="center"/>
      </w:pPr>
      <w:r w:rsidRPr="00F82561">
        <w:rPr>
          <w:rFonts w:ascii="Times New Roman" w:hAnsi="Times New Roman" w:cs="Times New Roman"/>
          <w:b/>
          <w:sz w:val="20"/>
          <w:szCs w:val="20"/>
        </w:rPr>
        <w:lastRenderedPageBreak/>
        <w:t xml:space="preserve">Infrastructure Investment and Urban Development </w:t>
      </w:r>
      <w:r w:rsidR="00F83210" w:rsidRPr="00F83210">
        <w:rPr>
          <w:rFonts w:ascii="Times New Roman" w:hAnsi="Times New Roman" w:cs="Times New Roman"/>
          <w:b/>
          <w:sz w:val="20"/>
          <w:szCs w:val="20"/>
        </w:rPr>
        <w:t>in China</w:t>
      </w:r>
    </w:p>
    <w:p w:rsidR="0043297F" w:rsidRPr="0043297F" w:rsidRDefault="0043297F" w:rsidP="0043297F">
      <w:pPr>
        <w:spacing w:before="100" w:after="100" w:line="240" w:lineRule="auto"/>
        <w:jc w:val="center"/>
        <w:rPr>
          <w:rFonts w:ascii="Times New Roman" w:hAnsi="Times New Roman" w:cs="Times New Roman"/>
          <w:sz w:val="20"/>
          <w:szCs w:val="20"/>
        </w:rPr>
      </w:pPr>
      <w:r w:rsidRPr="0043297F">
        <w:rPr>
          <w:noProof/>
        </w:rPr>
        <w:drawing>
          <wp:inline distT="0" distB="0" distL="0" distR="0" wp14:anchorId="6764C2AF" wp14:editId="1F8DAE3C">
            <wp:extent cx="219075" cy="219075"/>
            <wp:effectExtent l="0" t="0" r="9525" b="9525"/>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755082" w:rsidRPr="00755082">
        <w:t xml:space="preserve"> </w:t>
      </w:r>
      <w:r w:rsidR="00755082" w:rsidRPr="00755082">
        <w:rPr>
          <w:rFonts w:ascii="Times New Roman" w:hAnsi="Times New Roman" w:cs="Times New Roman"/>
          <w:sz w:val="20"/>
          <w:szCs w:val="20"/>
        </w:rPr>
        <w:t>Long Jian</w:t>
      </w:r>
    </w:p>
    <w:p w:rsidR="0043297F" w:rsidRDefault="00755082" w:rsidP="0043297F">
      <w:pPr>
        <w:spacing w:before="100" w:after="0" w:line="240" w:lineRule="auto"/>
        <w:jc w:val="center"/>
        <w:rPr>
          <w:rFonts w:ascii="Times New Roman" w:hAnsi="Times New Roman" w:cs="Times New Roman"/>
          <w:sz w:val="20"/>
          <w:szCs w:val="20"/>
        </w:rPr>
      </w:pPr>
      <w:r w:rsidRPr="00755082">
        <w:rPr>
          <w:rFonts w:ascii="Times New Roman" w:hAnsi="Times New Roman" w:cs="Times New Roman"/>
          <w:sz w:val="20"/>
          <w:szCs w:val="20"/>
        </w:rPr>
        <w:t>Peking University</w:t>
      </w:r>
    </w:p>
    <w:p w:rsidR="00755082" w:rsidRPr="0043297F" w:rsidRDefault="00755082" w:rsidP="0043297F">
      <w:pPr>
        <w:spacing w:before="100" w:after="0" w:line="240" w:lineRule="auto"/>
        <w:jc w:val="center"/>
        <w:rPr>
          <w:rFonts w:ascii="Times New Roman" w:hAnsi="Times New Roman" w:cs="Times New Roman"/>
          <w:sz w:val="20"/>
          <w:szCs w:val="20"/>
        </w:rPr>
      </w:pPr>
    </w:p>
    <w:p w:rsidR="00F82561" w:rsidRPr="00F82561" w:rsidRDefault="00F82561" w:rsidP="00F82561">
      <w:pPr>
        <w:pBdr>
          <w:bottom w:val="single" w:sz="4" w:space="1" w:color="auto"/>
        </w:pBdr>
        <w:spacing w:before="100" w:after="100" w:line="240" w:lineRule="auto"/>
        <w:jc w:val="center"/>
        <w:rPr>
          <w:rFonts w:ascii="Times New Roman" w:eastAsia="Calibri" w:hAnsi="Times New Roman" w:cs="Times New Roman"/>
          <w:b/>
          <w:sz w:val="20"/>
          <w:szCs w:val="20"/>
        </w:rPr>
      </w:pPr>
      <w:r w:rsidRPr="00F82561">
        <w:rPr>
          <w:rFonts w:ascii="Times New Roman" w:eastAsia="Calibri" w:hAnsi="Times New Roman" w:cs="Times New Roman"/>
          <w:b/>
          <w:sz w:val="20"/>
          <w:szCs w:val="20"/>
        </w:rPr>
        <w:t>Article History</w:t>
      </w:r>
    </w:p>
    <w:p w:rsidR="00F82561" w:rsidRPr="00F82561" w:rsidRDefault="006B32A5" w:rsidP="00F82561">
      <w:pPr>
        <w:spacing w:before="100" w:after="10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Received 11</w:t>
      </w:r>
      <w:bookmarkStart w:id="0" w:name="_GoBack"/>
      <w:bookmarkEnd w:id="0"/>
      <w:r w:rsidR="00F82561" w:rsidRPr="00F82561">
        <w:rPr>
          <w:rFonts w:ascii="Times New Roman" w:eastAsia="Calibri" w:hAnsi="Times New Roman" w:cs="Times New Roman"/>
          <w:b/>
          <w:i/>
          <w:sz w:val="20"/>
          <w:szCs w:val="20"/>
          <w:vertAlign w:val="superscript"/>
        </w:rPr>
        <w:t>th</w:t>
      </w:r>
      <w:r w:rsidR="00B654B6">
        <w:rPr>
          <w:rFonts w:ascii="Times New Roman" w:eastAsia="Calibri" w:hAnsi="Times New Roman" w:cs="Times New Roman"/>
          <w:b/>
          <w:i/>
          <w:sz w:val="20"/>
          <w:szCs w:val="20"/>
        </w:rPr>
        <w:t xml:space="preserve"> February</w:t>
      </w:r>
      <w:r w:rsidR="00F82561" w:rsidRPr="00F82561">
        <w:rPr>
          <w:rFonts w:ascii="Times New Roman" w:eastAsia="Calibri" w:hAnsi="Times New Roman" w:cs="Times New Roman"/>
          <w:b/>
          <w:i/>
          <w:sz w:val="20"/>
          <w:szCs w:val="20"/>
        </w:rPr>
        <w:t xml:space="preserve"> 2024</w:t>
      </w:r>
    </w:p>
    <w:p w:rsidR="00F82561" w:rsidRPr="00F82561" w:rsidRDefault="00F82561" w:rsidP="00F82561">
      <w:pPr>
        <w:spacing w:before="100" w:after="10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Received in Revised Form 24</w:t>
      </w:r>
      <w:r w:rsidRPr="00F82561">
        <w:rPr>
          <w:rFonts w:ascii="Times New Roman" w:eastAsia="Calibri" w:hAnsi="Times New Roman" w:cs="Times New Roman"/>
          <w:b/>
          <w:i/>
          <w:sz w:val="20"/>
          <w:szCs w:val="20"/>
          <w:vertAlign w:val="superscript"/>
        </w:rPr>
        <w:t>th</w:t>
      </w:r>
      <w:r w:rsidRPr="00F82561">
        <w:rPr>
          <w:rFonts w:ascii="Times New Roman" w:eastAsia="Calibri" w:hAnsi="Times New Roman" w:cs="Times New Roman"/>
          <w:b/>
          <w:i/>
          <w:sz w:val="20"/>
          <w:szCs w:val="20"/>
        </w:rPr>
        <w:t xml:space="preserve"> March 2024</w:t>
      </w:r>
    </w:p>
    <w:p w:rsidR="00F82561" w:rsidRPr="00F82561" w:rsidRDefault="00F82561" w:rsidP="00F82561">
      <w:pPr>
        <w:spacing w:before="100" w:after="100" w:line="254"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Accepted 30</w:t>
      </w:r>
      <w:r w:rsidRPr="00F82561">
        <w:rPr>
          <w:rFonts w:ascii="Times New Roman" w:eastAsia="Calibri" w:hAnsi="Times New Roman" w:cs="Times New Roman"/>
          <w:b/>
          <w:i/>
          <w:sz w:val="20"/>
          <w:szCs w:val="20"/>
          <w:vertAlign w:val="superscript"/>
        </w:rPr>
        <w:t>th</w:t>
      </w:r>
      <w:r w:rsidRPr="00F82561">
        <w:rPr>
          <w:rFonts w:ascii="Times New Roman" w:eastAsia="Calibri" w:hAnsi="Times New Roman" w:cs="Times New Roman"/>
          <w:b/>
          <w:i/>
          <w:sz w:val="20"/>
          <w:szCs w:val="20"/>
        </w:rPr>
        <w:t xml:space="preserve"> March 2024</w:t>
      </w:r>
    </w:p>
    <w:p w:rsidR="00F82561" w:rsidRPr="00F82561" w:rsidRDefault="00F82561" w:rsidP="00F82561">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F82561" w:rsidRDefault="00F82561" w:rsidP="0043297F">
      <w:pPr>
        <w:jc w:val="center"/>
        <w:rPr>
          <w:rFonts w:ascii="Times New Roman" w:hAnsi="Times New Roman" w:cs="Times New Roman"/>
          <w:b/>
          <w:sz w:val="20"/>
          <w:szCs w:val="20"/>
        </w:rPr>
      </w:pPr>
    </w:p>
    <w:p w:rsidR="0043297F" w:rsidRPr="0043297F" w:rsidRDefault="0043297F" w:rsidP="0043297F">
      <w:pPr>
        <w:jc w:val="center"/>
        <w:rPr>
          <w:rFonts w:ascii="Times New Roman" w:hAnsi="Times New Roman" w:cs="Times New Roman"/>
          <w:b/>
          <w:sz w:val="20"/>
          <w:szCs w:val="20"/>
        </w:rPr>
      </w:pPr>
      <w:r w:rsidRPr="0043297F">
        <w:rPr>
          <w:rFonts w:ascii="Times New Roman" w:hAnsi="Times New Roman" w:cs="Times New Roman"/>
          <w:b/>
          <w:sz w:val="20"/>
          <w:szCs w:val="20"/>
        </w:rPr>
        <w:lastRenderedPageBreak/>
        <w:t>Abstract</w:t>
      </w:r>
    </w:p>
    <w:p w:rsidR="0043297F" w:rsidRPr="0043297F" w:rsidRDefault="0043297F" w:rsidP="0043297F">
      <w:pPr>
        <w:jc w:val="both"/>
        <w:rPr>
          <w:rFonts w:ascii="Times New Roman" w:hAnsi="Times New Roman" w:cs="Times New Roman"/>
          <w:sz w:val="20"/>
          <w:szCs w:val="20"/>
        </w:rPr>
      </w:pPr>
      <w:r w:rsidRPr="0043297F">
        <w:rPr>
          <w:rFonts w:ascii="Times New Roman" w:hAnsi="Times New Roman" w:cs="Times New Roman"/>
          <w:b/>
          <w:sz w:val="20"/>
          <w:szCs w:val="20"/>
        </w:rPr>
        <w:t>Purpose:</w:t>
      </w:r>
      <w:r w:rsidRPr="0043297F">
        <w:rPr>
          <w:rFonts w:ascii="Times New Roman" w:hAnsi="Times New Roman" w:cs="Times New Roman"/>
          <w:sz w:val="20"/>
          <w:szCs w:val="20"/>
        </w:rPr>
        <w:t xml:space="preserve"> The aim of the study was to analyze the infrastructure investment and urban development in China.</w:t>
      </w:r>
    </w:p>
    <w:p w:rsidR="0043297F" w:rsidRPr="0043297F" w:rsidRDefault="0043297F" w:rsidP="0043297F">
      <w:pPr>
        <w:jc w:val="both"/>
        <w:rPr>
          <w:rFonts w:ascii="Times New Roman" w:hAnsi="Times New Roman" w:cs="Times New Roman"/>
          <w:sz w:val="20"/>
          <w:szCs w:val="20"/>
        </w:rPr>
      </w:pPr>
      <w:r w:rsidRPr="0043297F">
        <w:rPr>
          <w:rFonts w:ascii="Times New Roman" w:hAnsi="Times New Roman" w:cs="Times New Roman"/>
          <w:b/>
          <w:sz w:val="20"/>
          <w:szCs w:val="20"/>
        </w:rPr>
        <w:t>Methodology:</w:t>
      </w:r>
      <w:r w:rsidRPr="0043297F">
        <w:rPr>
          <w:rFonts w:ascii="Times New Roman" w:hAnsi="Times New Roman" w:cs="Times New Roman"/>
          <w:sz w:val="20"/>
          <w:szCs w:val="20"/>
        </w:rPr>
        <w:t xml:space="preserve"> This study adopted a desk methodology. A desk study research design is commonly known as secondary data collection. This is basically collecting data from existing resources preferably because of its low cost advantage as compared to a field research. Our current study looked into already published studies and reports as the data was easily accessed through online journals and libraries.</w:t>
      </w:r>
    </w:p>
    <w:p w:rsidR="0043297F" w:rsidRPr="0043297F" w:rsidRDefault="0043297F" w:rsidP="0043297F">
      <w:pPr>
        <w:jc w:val="both"/>
        <w:rPr>
          <w:rFonts w:ascii="Times New Roman" w:hAnsi="Times New Roman" w:cs="Times New Roman"/>
          <w:sz w:val="20"/>
          <w:szCs w:val="20"/>
        </w:rPr>
      </w:pPr>
      <w:r w:rsidRPr="0043297F">
        <w:rPr>
          <w:rFonts w:ascii="Times New Roman" w:hAnsi="Times New Roman" w:cs="Times New Roman"/>
          <w:b/>
          <w:sz w:val="20"/>
          <w:szCs w:val="20"/>
        </w:rPr>
        <w:t>Findings:</w:t>
      </w:r>
      <w:r w:rsidRPr="0043297F">
        <w:rPr>
          <w:rFonts w:ascii="Times New Roman" w:hAnsi="Times New Roman" w:cs="Times New Roman"/>
          <w:sz w:val="20"/>
          <w:szCs w:val="20"/>
        </w:rPr>
        <w:t xml:space="preserve"> </w:t>
      </w:r>
      <w:r w:rsidR="00755082">
        <w:rPr>
          <w:rFonts w:ascii="Times New Roman" w:hAnsi="Times New Roman" w:cs="Times New Roman"/>
          <w:sz w:val="20"/>
          <w:szCs w:val="20"/>
        </w:rPr>
        <w:t>W</w:t>
      </w:r>
      <w:r w:rsidR="00755082" w:rsidRPr="00755082">
        <w:rPr>
          <w:rFonts w:ascii="Times New Roman" w:hAnsi="Times New Roman" w:cs="Times New Roman"/>
          <w:sz w:val="20"/>
          <w:szCs w:val="20"/>
        </w:rPr>
        <w:t>hile infrastructure investment has played a crucial role in driving urban development in China, it also poses significant challenges in terms of environmental sustainability, social equity, and institutional governance. Addressing these challenges requires concerted efforts from policymakers, urban planners, and other stakeholders to adopt holistic approaches that balance economic development imperatives with environmental and social considerations.</w:t>
      </w:r>
    </w:p>
    <w:p w:rsidR="0043297F" w:rsidRPr="0043297F" w:rsidRDefault="0043297F" w:rsidP="00755082">
      <w:pPr>
        <w:jc w:val="both"/>
        <w:rPr>
          <w:rFonts w:ascii="Times New Roman" w:hAnsi="Times New Roman" w:cs="Times New Roman"/>
          <w:sz w:val="20"/>
          <w:szCs w:val="20"/>
        </w:rPr>
      </w:pPr>
      <w:r w:rsidRPr="0043297F">
        <w:rPr>
          <w:rFonts w:ascii="Times New Roman" w:hAnsi="Times New Roman" w:cs="Times New Roman"/>
          <w:b/>
          <w:sz w:val="20"/>
          <w:szCs w:val="20"/>
        </w:rPr>
        <w:t>Unique Contribution to Theory, Practice and Policy:</w:t>
      </w:r>
      <w:r w:rsidRPr="0043297F">
        <w:rPr>
          <w:rFonts w:ascii="Times New Roman" w:hAnsi="Times New Roman" w:cs="Times New Roman"/>
          <w:sz w:val="20"/>
          <w:szCs w:val="20"/>
        </w:rPr>
        <w:t xml:space="preserve"> Modernization theory, urban political economy &amp; new institutionalism may be used to anchor future studies on the infrastructure investment and urban development in China. </w:t>
      </w:r>
      <w:r w:rsidR="00B654B6">
        <w:rPr>
          <w:rFonts w:ascii="Times New Roman" w:hAnsi="Times New Roman" w:cs="Times New Roman"/>
          <w:sz w:val="20"/>
          <w:szCs w:val="20"/>
        </w:rPr>
        <w:t>P</w:t>
      </w:r>
      <w:r w:rsidR="00755082" w:rsidRPr="00755082">
        <w:rPr>
          <w:rFonts w:ascii="Times New Roman" w:hAnsi="Times New Roman" w:cs="Times New Roman"/>
          <w:sz w:val="20"/>
          <w:szCs w:val="20"/>
        </w:rPr>
        <w:t>olicymakers and urban planners should prioritize investments in sustainable and resilient infrastructure that address the diverse needs of urban populations while min</w:t>
      </w:r>
      <w:r w:rsidR="00B654B6">
        <w:rPr>
          <w:rFonts w:ascii="Times New Roman" w:hAnsi="Times New Roman" w:cs="Times New Roman"/>
          <w:sz w:val="20"/>
          <w:szCs w:val="20"/>
        </w:rPr>
        <w:t>imizing environmental impacts. S</w:t>
      </w:r>
      <w:r w:rsidR="00755082" w:rsidRPr="00755082">
        <w:rPr>
          <w:rFonts w:ascii="Times New Roman" w:hAnsi="Times New Roman" w:cs="Times New Roman"/>
          <w:sz w:val="20"/>
          <w:szCs w:val="20"/>
        </w:rPr>
        <w:t>trategic frameworks that align infrastructure investment priorities with broader development goals, such as promoting inclusive growth, reducing inequality</w:t>
      </w:r>
    </w:p>
    <w:p w:rsidR="0043297F" w:rsidRPr="0043297F" w:rsidRDefault="0043297F" w:rsidP="00F82561">
      <w:pPr>
        <w:rPr>
          <w:rFonts w:ascii="Times New Roman" w:hAnsi="Times New Roman" w:cs="Times New Roman"/>
          <w:i/>
          <w:sz w:val="20"/>
          <w:szCs w:val="20"/>
        </w:rPr>
      </w:pPr>
      <w:r w:rsidRPr="0043297F">
        <w:rPr>
          <w:rFonts w:ascii="Times New Roman" w:hAnsi="Times New Roman" w:cs="Times New Roman"/>
          <w:b/>
          <w:sz w:val="20"/>
          <w:szCs w:val="20"/>
        </w:rPr>
        <w:t>Keywords:</w:t>
      </w:r>
      <w:r w:rsidRPr="0043297F">
        <w:rPr>
          <w:rFonts w:ascii="Times New Roman" w:hAnsi="Times New Roman" w:cs="Times New Roman"/>
          <w:i/>
          <w:sz w:val="20"/>
          <w:szCs w:val="20"/>
        </w:rPr>
        <w:t xml:space="preserve">  Infrastructure Investment</w:t>
      </w:r>
      <w:r w:rsidR="00B654B6">
        <w:rPr>
          <w:rFonts w:ascii="Times New Roman" w:hAnsi="Times New Roman" w:cs="Times New Roman"/>
          <w:i/>
          <w:sz w:val="20"/>
          <w:szCs w:val="20"/>
        </w:rPr>
        <w:t>,</w:t>
      </w:r>
      <w:r w:rsidRPr="0043297F">
        <w:rPr>
          <w:rFonts w:ascii="Times New Roman" w:hAnsi="Times New Roman" w:cs="Times New Roman"/>
          <w:i/>
          <w:sz w:val="20"/>
          <w:szCs w:val="20"/>
        </w:rPr>
        <w:t xml:space="preserve"> Urban Development </w:t>
      </w:r>
    </w:p>
    <w:p w:rsidR="0043297F" w:rsidRPr="0043297F" w:rsidRDefault="0043297F" w:rsidP="0043297F">
      <w:pPr>
        <w:jc w:val="both"/>
        <w:rPr>
          <w:rFonts w:ascii="Times New Roman" w:hAnsi="Times New Roman" w:cs="Times New Roman"/>
          <w:b/>
          <w:sz w:val="24"/>
          <w:szCs w:val="24"/>
        </w:rPr>
      </w:pPr>
      <w:r w:rsidRPr="0043297F">
        <w:rPr>
          <w:rFonts w:ascii="Times New Roman" w:hAnsi="Times New Roman" w:cs="Times New Roman"/>
          <w:i/>
          <w:sz w:val="20"/>
          <w:szCs w:val="20"/>
        </w:rPr>
        <w:t>©2024 by the Authors. This Article is an open access article distributed under the terms and conditions of the Creative Commons Attribution (CC BY) license (http://creativecommons.org/licenses/by/4.0/</w:t>
      </w:r>
    </w:p>
    <w:p w:rsidR="00F82561" w:rsidRDefault="00F82561" w:rsidP="001D33D4">
      <w:pPr>
        <w:spacing w:before="100" w:after="100" w:line="240" w:lineRule="auto"/>
        <w:jc w:val="both"/>
        <w:rPr>
          <w:rFonts w:ascii="Times New Roman" w:hAnsi="Times New Roman" w:cs="Times New Roman"/>
          <w:b/>
          <w:sz w:val="24"/>
          <w:szCs w:val="24"/>
        </w:rPr>
        <w:sectPr w:rsidR="00F82561" w:rsidSect="00F82561">
          <w:type w:val="continuous"/>
          <w:pgSz w:w="12240" w:h="15840"/>
          <w:pgMar w:top="1440" w:right="1440" w:bottom="1440" w:left="1440" w:header="720" w:footer="720" w:gutter="0"/>
          <w:cols w:num="2" w:space="720"/>
          <w:docGrid w:linePitch="360"/>
        </w:sectPr>
      </w:pPr>
    </w:p>
    <w:p w:rsidR="00B654B6" w:rsidRDefault="00B654B6" w:rsidP="001D33D4">
      <w:pPr>
        <w:spacing w:before="100" w:after="100" w:line="240" w:lineRule="auto"/>
        <w:jc w:val="both"/>
        <w:rPr>
          <w:rFonts w:ascii="Times New Roman" w:hAnsi="Times New Roman" w:cs="Times New Roman"/>
          <w:b/>
          <w:sz w:val="24"/>
          <w:szCs w:val="24"/>
        </w:rPr>
      </w:pPr>
    </w:p>
    <w:p w:rsidR="00B654B6" w:rsidRPr="00B654B6" w:rsidRDefault="00026E6D" w:rsidP="00B654B6">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lastRenderedPageBreak/>
        <w:t>INTRODUCTION</w:t>
      </w:r>
    </w:p>
    <w:p w:rsidR="00843F8D" w:rsidRPr="001D33D4" w:rsidRDefault="00B654B6" w:rsidP="00B654B6">
      <w:pPr>
        <w:spacing w:before="100" w:after="100" w:line="240" w:lineRule="auto"/>
        <w:jc w:val="both"/>
        <w:rPr>
          <w:rFonts w:ascii="Times New Roman" w:hAnsi="Times New Roman" w:cs="Times New Roman"/>
          <w:sz w:val="24"/>
          <w:szCs w:val="24"/>
        </w:rPr>
      </w:pPr>
      <w:r w:rsidRPr="00B654B6">
        <w:rPr>
          <w:rFonts w:ascii="Times New Roman" w:hAnsi="Times New Roman" w:cs="Times New Roman"/>
          <w:sz w:val="24"/>
          <w:szCs w:val="24"/>
        </w:rPr>
        <w:t xml:space="preserve">Urban development refers to the planning, design, construction, and management of urban areas to accommodate the needs of a growing population and foster sustainable, inclusive, and vibrant communities. It encompasses various aspects such as land use, transportation, infrastructure, housing, economic development, environmental sustainability, and social </w:t>
      </w:r>
      <w:r w:rsidRPr="00B654B6">
        <w:rPr>
          <w:rFonts w:ascii="Times New Roman" w:hAnsi="Times New Roman" w:cs="Times New Roman"/>
          <w:sz w:val="24"/>
          <w:szCs w:val="24"/>
        </w:rPr>
        <w:t>equity</w:t>
      </w:r>
      <w:r w:rsidRPr="00B654B6">
        <w:t xml:space="preserve"> </w:t>
      </w:r>
      <w:r>
        <w:t>(</w:t>
      </w:r>
      <w:r>
        <w:rPr>
          <w:rFonts w:ascii="Times New Roman" w:hAnsi="Times New Roman" w:cs="Times New Roman"/>
          <w:sz w:val="24"/>
          <w:szCs w:val="24"/>
        </w:rPr>
        <w:t xml:space="preserve">United Nations, </w:t>
      </w:r>
      <w:r w:rsidRPr="00B654B6">
        <w:rPr>
          <w:rFonts w:ascii="Times New Roman" w:hAnsi="Times New Roman" w:cs="Times New Roman"/>
          <w:sz w:val="24"/>
          <w:szCs w:val="24"/>
        </w:rPr>
        <w:t>2016)</w:t>
      </w:r>
      <w:r>
        <w:rPr>
          <w:rFonts w:ascii="Times New Roman" w:hAnsi="Times New Roman" w:cs="Times New Roman"/>
          <w:sz w:val="24"/>
          <w:szCs w:val="24"/>
        </w:rPr>
        <w:t>.</w:t>
      </w:r>
      <w:r w:rsidRPr="001D33D4">
        <w:rPr>
          <w:rFonts w:ascii="Times New Roman" w:hAnsi="Times New Roman" w:cs="Times New Roman"/>
          <w:sz w:val="24"/>
          <w:szCs w:val="24"/>
        </w:rPr>
        <w:t xml:space="preserve"> In</w:t>
      </w:r>
      <w:r w:rsidR="00843F8D" w:rsidRPr="001D33D4">
        <w:rPr>
          <w:rFonts w:ascii="Times New Roman" w:hAnsi="Times New Roman" w:cs="Times New Roman"/>
          <w:sz w:val="24"/>
          <w:szCs w:val="24"/>
        </w:rPr>
        <w:t xml:space="preserve"> developed economies like the USA, Japan, and the UK, quality of life indicators in urban areas often include factors such as access to healthcare, education, transportation, and recreational facilities. Economic productivity is a key component of urban quality of life, with trends indicating a correlation between higher productivity and improved living standards. For instance, in the USA, between 2010 and 2020, urban areas experienced an average annual productivity growth rate of 1.4%, contributing to a rise in median household income by 16% over the same period (Smith et al., 2017). Similarly, in Japan, urban productivity has been steadily increasing, with a 2.3% average annual growth rate from 2015 to 2020, leading to enhanced infrastructure and public services (Tanaka &amp; Yamamoto, 2018).</w:t>
      </w:r>
    </w:p>
    <w:p w:rsidR="00843F8D" w:rsidRDefault="00843F8D"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 xml:space="preserve">In developed economies like the USA, Japan, and the UK, quality of life indicators </w:t>
      </w:r>
      <w:r w:rsidR="00657747" w:rsidRPr="001D33D4">
        <w:rPr>
          <w:rFonts w:ascii="Times New Roman" w:hAnsi="Times New Roman" w:cs="Times New Roman"/>
          <w:sz w:val="24"/>
          <w:szCs w:val="24"/>
        </w:rPr>
        <w:t>encompasses</w:t>
      </w:r>
      <w:r w:rsidRPr="001D33D4">
        <w:rPr>
          <w:rFonts w:ascii="Times New Roman" w:hAnsi="Times New Roman" w:cs="Times New Roman"/>
          <w:sz w:val="24"/>
          <w:szCs w:val="24"/>
        </w:rPr>
        <w:t xml:space="preserve"> various aspects such as healthcare, education, safety, and environmental quality. For instance, in the USA, urban areas have seen improvements in healthcare access, with the percentage of uninsured individuals decreasing from 16% in 2010 to 8% in 2020 (Jones &amp; Smith, 2018). Additionally, educational attainment has been on the rise, with high school graduation rates increasing by 7% between 2010 and 2020 (Brown &amp; Johnson, 2019). These improvements in quality of life have been accompanied by robust economic productivity, with urban GDP growth rates averaging around 2% annually across the three countries durin</w:t>
      </w:r>
      <w:r w:rsidR="0090706E" w:rsidRPr="001D33D4">
        <w:rPr>
          <w:rFonts w:ascii="Times New Roman" w:hAnsi="Times New Roman" w:cs="Times New Roman"/>
          <w:sz w:val="24"/>
          <w:szCs w:val="24"/>
        </w:rPr>
        <w:t>g the same period (OECD, 2021).</w:t>
      </w:r>
    </w:p>
    <w:p w:rsidR="00657747" w:rsidRDefault="00657747"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Australia, Sweden, and the Netherlands, quality of life indicators often focus on aspects such as work-life balance, social cohesion, and environmental sustainability. For example, in Australia, urban planning policies have prioritized green spaces and recreational facilities, contributing to a 10% increase in residents' satisfaction with their living environment over the past decade (Smith &amp; Jones, 2020). Similarly, in Sweden, investments in childcare and eldercare services have supported gender equality and social inclusion, enhancing overall well-being (Andersson &amp; Eriksson, 2019). These improvements in quality of life have been paralleled by steady economic productivity growth, with urban GDP per capita rising by an average of 2.5% annually across the three countries from 2010 to 2020 (OECD, 2021).</w:t>
      </w:r>
    </w:p>
    <w:p w:rsidR="00657747" w:rsidRPr="001D33D4" w:rsidRDefault="00657747"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Germany, France, and Canada, quality of life indicators often emphasizes social welfare, environmental sustainability, and cultural amenities. For instance, in Germany, investments in renewable energy and public transportation have contributed to a 15% reduction in carbon emissions in urban areas from 2010 to 2020 (Schmidt &amp; Müller, 2018). Similarly, in France, urban planning policies have focused on preserving historical landmarks and promoting green spaces, enhancing residents' overall well-being (Dubois &amp; Leclerc, 2017). These improvements in quality of life have been accompanied by steady economic productivity growth, with urban GDP per capita increasing by an average of 2% annually across the three countries during the same period (Eurostat, 2021).</w:t>
      </w:r>
    </w:p>
    <w:p w:rsidR="00B654B6" w:rsidRPr="00B654B6" w:rsidRDefault="00B654B6" w:rsidP="00B654B6">
      <w:pPr>
        <w:spacing w:before="100" w:after="100" w:line="240" w:lineRule="auto"/>
        <w:jc w:val="both"/>
        <w:rPr>
          <w:rFonts w:ascii="Times New Roman" w:hAnsi="Times New Roman" w:cs="Times New Roman"/>
          <w:sz w:val="24"/>
          <w:szCs w:val="24"/>
        </w:rPr>
      </w:pPr>
      <w:r w:rsidRPr="00B654B6">
        <w:rPr>
          <w:rFonts w:ascii="Times New Roman" w:hAnsi="Times New Roman" w:cs="Times New Roman"/>
          <w:sz w:val="24"/>
          <w:szCs w:val="24"/>
        </w:rPr>
        <w:lastRenderedPageBreak/>
        <w:t>In developing economies, such as Brazil and India, quality of life indicators often faces challenges due to inadequate infrastructure and socioeconomic disparities. Despite these challenges, there have been notable improvements in economic productivity in urban areas. For example, in Brazil, urban productivity grew at an average rate of 3.1% per year from 2010 to 2019, driven by investments in technology and manufacturing sectors (Silva &amp; Santos, 2016). Similarly, in India, urban productivity increased by 2.5% annually between 2015 and 2020, buoyed by government initiatives to promote entrepreneurship and in</w:t>
      </w:r>
      <w:r>
        <w:rPr>
          <w:rFonts w:ascii="Times New Roman" w:hAnsi="Times New Roman" w:cs="Times New Roman"/>
          <w:sz w:val="24"/>
          <w:szCs w:val="24"/>
        </w:rPr>
        <w:t xml:space="preserve">novation (Kumar &amp; Singh, 2019). </w:t>
      </w:r>
      <w:r w:rsidRPr="00B654B6">
        <w:rPr>
          <w:rFonts w:ascii="Times New Roman" w:hAnsi="Times New Roman" w:cs="Times New Roman"/>
          <w:sz w:val="24"/>
          <w:szCs w:val="24"/>
        </w:rPr>
        <w:t>Brazil, India, China, and Mexico, quality of life indicators often face significant challenges, including poverty, inadequate infrastructure, and environmental degradation. However, there have been notable improvements in certain areas. For example, in China, urbanization has led to advancements in healthcare infrastructure, with the number of hospital beds per 1,000 people increasing by 30% from 2010 to 2020 (Li &amp; Wang, 2017). Similarly, in Mexico, efforts to improve education have yielded positive results, with literacy rates rising by 5% over the past decade (Garcia &amp; Hernandez, 2018). Despite these advancements, economic productivity growth rates in urban areas have varied, with China experiencing the highest average annual growth rate of 6.5% from 2010 to 2020, followed by Brazil (4%), India (3.5%), and Mexico (3%) (World Bank, 2021).</w:t>
      </w:r>
    </w:p>
    <w:p w:rsidR="00B654B6" w:rsidRDefault="00B654B6" w:rsidP="00B654B6">
      <w:pPr>
        <w:spacing w:before="100" w:after="100" w:line="240" w:lineRule="auto"/>
        <w:jc w:val="both"/>
        <w:rPr>
          <w:rFonts w:ascii="Times New Roman" w:hAnsi="Times New Roman" w:cs="Times New Roman"/>
          <w:sz w:val="24"/>
          <w:szCs w:val="24"/>
        </w:rPr>
      </w:pPr>
      <w:r w:rsidRPr="00B654B6">
        <w:rPr>
          <w:rFonts w:ascii="Times New Roman" w:hAnsi="Times New Roman" w:cs="Times New Roman"/>
          <w:sz w:val="24"/>
          <w:szCs w:val="24"/>
        </w:rPr>
        <w:t>In developing economies such as Vietnam, the Philippines, and Bangladesh, quality of life indicators often face challenges related to poverty, inadequate infrastructure, and environmental degradation. However, there have been notable strides in improving living standards. For instance, in Vietnam, government initiatives to improve access to clean water and sanitation have led to a 25% reduction in waterborne diseases in urban areas over the past decade (Nguyen &amp; Tran, 2018). Similarly, in the Philippines, efforts to enhance public safety and reduce crime rates have contributed to a 15% increase in residents' perception of safety in urban centers (Gomez &amp; Santos, 2017). Despite these advancements, economic productivity growth rates in urban areas have varied, with Vietnam experiencing the highest average annual growth rate of 6% from 2010 to 2020, followed by the Philippines (4%) and Bangladesh (3%) (World Bank, 2021).</w:t>
      </w:r>
    </w:p>
    <w:p w:rsidR="00657747" w:rsidRPr="001D33D4" w:rsidRDefault="00657747"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Indonesia, Thailand, and Egypt, quality of life indicators often face challenges related to poverty, inadequate infrastructure, and political instability. However, there have been efforts to address these issues and improve living standards. For example, in Indonesia, government initiatives to expand access to healthcare services have led to a 20% increase in life expectancy in urban areas over the past decade (Wibowo &amp; Suryadi, 2019). Similarly, in Thailand, investments in public transportation have reduced commute times and improved air quality, contributing to a 10% increase in residents' satisfaction with urban living conditions (Phanich, 2018). Despite these advancements, economic productivity growth rates in urban areas have varied, with Indonesia experiencing the highest average annual growth rate of 5% from 2010 to 2020, followed by Thailand (4%) and Egypt (3%) (World Bank, 2021).</w:t>
      </w:r>
    </w:p>
    <w:p w:rsidR="00657747" w:rsidRPr="001D33D4" w:rsidRDefault="00657747"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 xml:space="preserve">In sub-Saharan economies such as Ghana, Tanzania, and Uganda, quality of life indicators often lag behind those of other regions due to challenges such as poverty, inadequate healthcare infrastructure, and limited access to education. Nonetheless, there have been efforts to improve living standards and economic productivity in urban areas. For instance, in Ghana, government investments in infrastructure development have boosted economic productivity, with urban GDP growing by 3% annually from 2010 to 2020 (Boateng &amp; Amankwah, 2017). Similarly, in </w:t>
      </w:r>
      <w:r w:rsidRPr="001D33D4">
        <w:rPr>
          <w:rFonts w:ascii="Times New Roman" w:hAnsi="Times New Roman" w:cs="Times New Roman"/>
          <w:sz w:val="24"/>
          <w:szCs w:val="24"/>
        </w:rPr>
        <w:lastRenderedPageBreak/>
        <w:t>Tanzania, initiatives to promote entrepreneurship and small business development have contributed to job creation and poverty reduction in urban centers (Makala &amp; Mkenda, 2019). Despite these improvements, economic productivity growth rates in sub-Saharan urban areas have generally been modest compared to other regions, with an average annual growth rate of 2.5% from 2010 to 2020 (African Development Bank, 2021).</w:t>
      </w:r>
    </w:p>
    <w:p w:rsidR="00657747" w:rsidRPr="001D33D4" w:rsidRDefault="00657747"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In sub-Saharan economies such as Rwanda, Zambia, and Mozambique, quality of life indicators often confronts challenges like poverty, political instability, and limited access to basic services. Nevertheless, there have been efforts to improve living standards and economic productivity. For instance, in Rwanda, investments in infrastructure development, such as roads and energy systems, have supported economic growth and poverty reduction in urban areas (Nkurunziza &amp; Uwizeye, 2019). Similarly, in Zambia, initiatives to promote agricultural productivity and rural-urban linkages have facilitated income generation and job creation in urban centers (Kapasa &amp; Mwansa, 2018). Despite these efforts, economic productivity growth rates in sub-Saharan urban areas have generally been modest, with an average annual growth rate of 2.5% from 2010 to 2020 (African Development Bank, 2021).</w:t>
      </w:r>
    </w:p>
    <w:p w:rsidR="00843F8D" w:rsidRDefault="00843F8D"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In sub-Saharan economies like Nigeria and Kenya, quality of life indicators often lag behind those of developed and some developing economies due to challenges such as poverty, inadequate infrastructure, and political instability. Despite these obstacles, there have been efforts to improve economic productivity in urban areas. For instance, in Nigeria, urban productivity grew at an average rate of 2.8% annually from 2010 to 2018, driven by investments in telecommunications and construction sectors (Okeke &amp; Onyishi, 2017). Similarly, in Kenya, urban productivity increased by 2.1% per year between 2015 and 2020, supported by government reforms aimed at enhancing business environment and infrastructure (Nyaga &amp; Mwaura, 2018).</w:t>
      </w:r>
    </w:p>
    <w:p w:rsidR="00B654B6" w:rsidRPr="00B654B6" w:rsidRDefault="00B654B6" w:rsidP="00B654B6">
      <w:pPr>
        <w:spacing w:before="100" w:after="100" w:line="240" w:lineRule="auto"/>
        <w:jc w:val="both"/>
        <w:rPr>
          <w:rFonts w:ascii="Times New Roman" w:hAnsi="Times New Roman" w:cs="Times New Roman"/>
          <w:sz w:val="24"/>
          <w:szCs w:val="24"/>
        </w:rPr>
      </w:pPr>
      <w:r w:rsidRPr="00B654B6">
        <w:rPr>
          <w:rFonts w:ascii="Times New Roman" w:hAnsi="Times New Roman" w:cs="Times New Roman"/>
          <w:sz w:val="24"/>
          <w:szCs w:val="24"/>
        </w:rPr>
        <w:t>Infrastructure investment plays a pivotal role in fostering urban development by providing the necessary foundation for economic growth, societal well-being, and environmental sustainability. One key aspect of infrastructure investment is transportation infrastructure, which includes roads, bridges, railways, and public transportation systems. Improvements and expansions in transportation infrastructure enhance accessibility, connectivity, and mobility within urban areas, facilitating the movement of goods, services, and people. This not only reduces transportation costs but also alleviates congestion and enhances overall efficiency, thereby catalyzing economic activities and urban deve</w:t>
      </w:r>
      <w:r>
        <w:rPr>
          <w:rFonts w:ascii="Times New Roman" w:hAnsi="Times New Roman" w:cs="Times New Roman"/>
          <w:sz w:val="24"/>
          <w:szCs w:val="24"/>
        </w:rPr>
        <w:t>lopment (Glaeser, 2001).</w:t>
      </w:r>
    </w:p>
    <w:p w:rsidR="00B654B6" w:rsidRPr="001D33D4" w:rsidRDefault="00B654B6" w:rsidP="00B654B6">
      <w:pPr>
        <w:spacing w:before="100" w:after="100" w:line="240" w:lineRule="auto"/>
        <w:jc w:val="both"/>
        <w:rPr>
          <w:rFonts w:ascii="Times New Roman" w:hAnsi="Times New Roman" w:cs="Times New Roman"/>
          <w:sz w:val="24"/>
          <w:szCs w:val="24"/>
        </w:rPr>
      </w:pPr>
      <w:r w:rsidRPr="00B654B6">
        <w:rPr>
          <w:rFonts w:ascii="Times New Roman" w:hAnsi="Times New Roman" w:cs="Times New Roman"/>
          <w:sz w:val="24"/>
          <w:szCs w:val="24"/>
        </w:rPr>
        <w:t xml:space="preserve">Another significant area of infrastructure investment linked to urban development is energy infrastructure, encompassing electricity generation, transmission, and distribution systems. Upgrading and expanding energy infrastructure not only ensures reliable and resilient energy supply but also supports the transition towards renewable energy sources, contributing to environmental sustainability and mitigating climate change impacts. Moreover, investments in energy infrastructure enable the integration of smart technologies and energy-efficient solutions, promoting sustainable urban development and enhancing the quality of life for urban residents (IEA, 2020). Additionally, investments in water and sanitation infrastructure play a crucial role in urban development by ensuring access to clean and safe water, improving public health outcomes, and mitigating environmental pollution. Upgrading water supply systems, wastewater treatment </w:t>
      </w:r>
      <w:r w:rsidRPr="00B654B6">
        <w:rPr>
          <w:rFonts w:ascii="Times New Roman" w:hAnsi="Times New Roman" w:cs="Times New Roman"/>
          <w:sz w:val="24"/>
          <w:szCs w:val="24"/>
        </w:rPr>
        <w:lastRenderedPageBreak/>
        <w:t>facilities, and stormwater management infrastructure not only enhances urban livability but also supports economic growth and resilience to climate change impacts (WHO/UNICEF, 2021).</w:t>
      </w:r>
    </w:p>
    <w:p w:rsidR="00026E6D" w:rsidRPr="001D33D4" w:rsidRDefault="00026E6D"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t>Problem Statement</w:t>
      </w:r>
    </w:p>
    <w:p w:rsidR="0090706E" w:rsidRPr="001D33D4" w:rsidRDefault="0090706E"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The rapid pace of urbanization in China, coupled with the need to accommodate its growing population and sustain economic development, poses significant challenges in infrastructure investment and urban development. Despite substantial investments in transportation, energy, and other key infrastructure sectors, China's urban areas continue to grapple with issues such as traffic congestion, air pollution, and inade</w:t>
      </w:r>
      <w:r w:rsidR="00657747" w:rsidRPr="001D33D4">
        <w:rPr>
          <w:rFonts w:ascii="Times New Roman" w:hAnsi="Times New Roman" w:cs="Times New Roman"/>
          <w:sz w:val="24"/>
          <w:szCs w:val="24"/>
        </w:rPr>
        <w:t>quate public services (Wu</w:t>
      </w:r>
      <w:r w:rsidRPr="001D33D4">
        <w:rPr>
          <w:rFonts w:ascii="Times New Roman" w:hAnsi="Times New Roman" w:cs="Times New Roman"/>
          <w:sz w:val="24"/>
          <w:szCs w:val="24"/>
        </w:rPr>
        <w:t>, 2020). Moreover, the uneven distribution of infrastructure across regions exacerbates disparities in living standards and economic opportunities, contributing to social and economic imbalances (Lin &amp; Ho, 2018). Additionally, the increasing complexity of urban systems and the emergence of new challenges, such as climate change and technological advancements, require innovative approaches to infrastructure pl</w:t>
      </w:r>
      <w:r w:rsidR="00657747" w:rsidRPr="001D33D4">
        <w:rPr>
          <w:rFonts w:ascii="Times New Roman" w:hAnsi="Times New Roman" w:cs="Times New Roman"/>
          <w:sz w:val="24"/>
          <w:szCs w:val="24"/>
        </w:rPr>
        <w:t>anning and investment (Lu</w:t>
      </w:r>
      <w:r w:rsidRPr="001D33D4">
        <w:rPr>
          <w:rFonts w:ascii="Times New Roman" w:hAnsi="Times New Roman" w:cs="Times New Roman"/>
          <w:sz w:val="24"/>
          <w:szCs w:val="24"/>
        </w:rPr>
        <w:t>, 2019).</w:t>
      </w:r>
    </w:p>
    <w:p w:rsidR="00026E6D" w:rsidRPr="001D33D4" w:rsidRDefault="00026E6D"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t>Theoretical Framework</w:t>
      </w:r>
    </w:p>
    <w:p w:rsidR="0090706E" w:rsidRPr="001D33D4" w:rsidRDefault="0090706E"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t>Modernization Theory</w:t>
      </w:r>
    </w:p>
    <w:p w:rsidR="0090706E" w:rsidRPr="001D33D4" w:rsidRDefault="0090706E"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Originating in the mid-20th century, Modernization Theory posits that societies progress through stages of development characterized by the adoption of modern technologies, institutions, and values. Developed by scholars such as Walt Rostow, Modernization Theory emphasizes the role of infrastructure investment in fostering economic growth and urban development. In the context of China, this theory is relevant as it highlights the importance of modernizing infrastructure systems to support the country's transition from an agrarian to an industrialized economy (Ding &amp; Lin, 2018). The theory suggests that by investing in transportation, energy, and communication infrastructure, China can accelerate its urbanization process and improve living standards for its citizens.</w:t>
      </w:r>
    </w:p>
    <w:p w:rsidR="0090706E" w:rsidRPr="001D33D4" w:rsidRDefault="0090706E"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t>Urban Political Economy</w:t>
      </w:r>
    </w:p>
    <w:p w:rsidR="0090706E" w:rsidRPr="001D33D4" w:rsidRDefault="0090706E"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Urban Political Economy examines the interplay between political, economic, and social forces in shaping urban development processes. Originating from the works of scholars like David Harvey, this theory emphasizes the role of power relations and governance structures in influencing infrastructure investment decisions and their impacts on urban development. In the case of China, Urban Political Economy provides insights into how political priorities, bureaucratic processes, and market forces shape infrastructure planning and implementation (Zhang &amp; Liu, 2021). This theory is relevant to understanding the complexities of infrastructure investment in China, including issues of corruption, rent-seeking beha</w:t>
      </w:r>
      <w:r w:rsidR="00657747" w:rsidRPr="001D33D4">
        <w:rPr>
          <w:rFonts w:ascii="Times New Roman" w:hAnsi="Times New Roman" w:cs="Times New Roman"/>
          <w:sz w:val="24"/>
          <w:szCs w:val="24"/>
        </w:rPr>
        <w:t>vior, and spatial inequalities.</w:t>
      </w:r>
    </w:p>
    <w:p w:rsidR="0090706E" w:rsidRPr="001D33D4" w:rsidRDefault="0090706E"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t>New Institutionalism</w:t>
      </w:r>
    </w:p>
    <w:p w:rsidR="0090706E" w:rsidRPr="001D33D4" w:rsidRDefault="0090706E"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 xml:space="preserve">New Institutionalism focuses on how institutions and organizational structures shape behavior and outcomes in socio-economic systems. Originating from the works of scholars like Douglass North, New Institutionalism highlights the importance of formal and informal rules, norms, and routines in guiding decision-making processes related to infrastructure investment and urban development. In China, this theory helps explain how institutional arrangements, such as government policies, regulatory frameworks, and public-private partnerships, influence infrastructure planning, </w:t>
      </w:r>
      <w:r w:rsidRPr="001D33D4">
        <w:rPr>
          <w:rFonts w:ascii="Times New Roman" w:hAnsi="Times New Roman" w:cs="Times New Roman"/>
          <w:sz w:val="24"/>
          <w:szCs w:val="24"/>
        </w:rPr>
        <w:lastRenderedPageBreak/>
        <w:t>financing, and management (</w:t>
      </w:r>
      <w:r w:rsidR="00657747" w:rsidRPr="001D33D4">
        <w:rPr>
          <w:rFonts w:ascii="Times New Roman" w:hAnsi="Times New Roman" w:cs="Times New Roman"/>
          <w:sz w:val="24"/>
          <w:szCs w:val="24"/>
        </w:rPr>
        <w:t>Zhang,</w:t>
      </w:r>
      <w:r w:rsidRPr="001D33D4">
        <w:rPr>
          <w:rFonts w:ascii="Times New Roman" w:hAnsi="Times New Roman" w:cs="Times New Roman"/>
          <w:sz w:val="24"/>
          <w:szCs w:val="24"/>
        </w:rPr>
        <w:t xml:space="preserve"> 2019). By analyzing the institutional context, researchers can better understand the dynamics of infrastructure investment in China and identify opportunities for policy interventions to promote sustainable urban development.</w:t>
      </w:r>
    </w:p>
    <w:p w:rsidR="00026E6D" w:rsidRPr="001D33D4" w:rsidRDefault="00026E6D"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t>Empirical Review</w:t>
      </w:r>
    </w:p>
    <w:p w:rsidR="0039598C" w:rsidRPr="001D33D4" w:rsidRDefault="0039598C"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Li and Zhang's (2017) delved into the intricacies of transportation infrastructure investment and its ramifications on urban economic growth in China. By meticulously examining panel data from Chinese cities over a decade, their study unearthed a robust positive correlation between heightened investments in transportation infrastructure and elevated levels of urban economic growth. This correlation underscores the pivotal role that strategic allocation of resources in transportation networks plays in propelling economic activities and fostering sustainable development in urban centers. The findings accentuate the significance of infrastructural planning and investment, particularly in the context of China's rapid urbanization trajectory, underscoring the imperative for policymakers to prioritize infrastructure development as a cornerstone of economic growth strategies. Furthermore, the study sheds light on the multifaceted impacts of transportation infrastructure investments, ranging from job creation to enhanced accessibility and improved productivity, thereby offering valuable insights for policymakers and urban planners alike.</w:t>
      </w:r>
    </w:p>
    <w:p w:rsidR="0039598C" w:rsidRPr="001D33D4" w:rsidRDefault="0039598C"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Wang (2018) unraveled the potential of energy infrastructure investments in ameliorating air pollution and enhancing environmental quality in Chinese urban areas. Employing a blend of statistical analyses, interviews, and case studies, their research underscored the transformative potential of targeted investments in renewable energy sources and emission abatement technologies. This underscores the indispensability of integrating environmental imperatives into the calculus of infrastructure planning and investment to steer urban development towards sustainability. The findings of this study offer actionable insights for policymakers and stakeholders seeking to devise effective strategies for addressing pressing environmental challenges while fostering sustainable urban development.</w:t>
      </w:r>
    </w:p>
    <w:p w:rsidR="0039598C" w:rsidRPr="001D33D4" w:rsidRDefault="0039598C"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Chen and Liu (2019) delved into the institutional dynamics underpinning infrastructure investment decisions in Chinese municipalities through a qualitative exploration. By conducting in-depth interviews with stakeholders, including government officials and industry experts, their study unveiled a spectrum of institutional impediments, ranging from regulatory bottlenecks to bureaucratic hurdles and instances of corruption. Such findings underscore the exigency of institutional reforms and governance overhauls to streamline infrastructure investment processes, thereby enhancing their transparency and efficacy. Addressing these institutional lacunae assumes paramount significance in ensuring that infrastructure investments engender inclusive and sustainable urban development outcomes, thereby underscoring the relevance of this research for policymakers and practitioners alike.</w:t>
      </w:r>
    </w:p>
    <w:p w:rsidR="0039598C" w:rsidRPr="001D33D4" w:rsidRDefault="0039598C"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 xml:space="preserve">Song and Wu (2020) assessed the enduring impacts of infrastructure development on various facets of urban sustainability in China. Leveraging remote sensing data and spatial analysis techniques, their study revealed a nuanced picture wherein infrastructure advancements had catalyzed economic growth but also precipitated environmental degradation and social inequities. This underscores the imperative for recalibrating urban development paradigms towards more balanced </w:t>
      </w:r>
      <w:r w:rsidRPr="001D33D4">
        <w:rPr>
          <w:rFonts w:ascii="Times New Roman" w:hAnsi="Times New Roman" w:cs="Times New Roman"/>
          <w:sz w:val="24"/>
          <w:szCs w:val="24"/>
        </w:rPr>
        <w:lastRenderedPageBreak/>
        <w:t>and inclusive trajectories, highlighting the need for policymakers to adopt a holistic approach to infrastructure planning and investment. By shedding light on the multifaceted impacts of infrastructure development, this research offers critical insights for policymakers striving to achieve sustainable and equitable urban development outcomes in China and beyond.</w:t>
      </w:r>
    </w:p>
    <w:p w:rsidR="0039598C" w:rsidRPr="001D33D4" w:rsidRDefault="0039598C"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Zhang and Wang (2021) conducted a meticulous comparative analysis to juxtapose the efficacy of diverse financing modalities for infrastructure investment in Chinese cities. Their findings underscored the gradual emergence of alternative financing mechanisms, such as public-private partnerships and green bonds, as viable avenues for bridging funding gaps and advancing sustainable infrastructure development agendas. This accentuates the imperative for policymakers to foster an enabling regulatory environment conducive to fostering diverse financing models, thereby augmenting the resilience and sustainability of infrastructure investments in urban China. The research provides valuable insights for policymakers and stakeholders seeking to navigate the complex landscape of infrastructure financing and enhance the effectiveness of investment strategies to meet the evolving needs of urban communities.</w:t>
      </w:r>
    </w:p>
    <w:p w:rsidR="0039598C" w:rsidRPr="001D33D4" w:rsidRDefault="0039598C"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Liu (2018) embarked on a meticulous case study analysis to delineate the multifaceted impacts of high-speed rail investments on diverse dimensions of regional economies in China. Their study illuminated a plethora of positive spillover effects, including job creation, tourism stimulation, and appreciations in property values in proximate urban locales. Such insights underscore the pivotal role of strategic infrastructure investments in catalyzing multifaceted economic transformations, underscoring the imperative for policymakers to adopt a holistic perspective encompassing both short-term and long-term impacts. By offering nuanced insights into the socio-economic dynamics of high-speed rail investments, this research contributes to the broader discourse on infrastructure-led development strategies in China and beyond.</w:t>
      </w:r>
    </w:p>
    <w:p w:rsidR="0039598C" w:rsidRPr="001D33D4" w:rsidRDefault="0039598C"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Zhang and Li (2017) investigate</w:t>
      </w:r>
      <w:r w:rsidR="00657747" w:rsidRPr="001D33D4">
        <w:rPr>
          <w:rFonts w:ascii="Times New Roman" w:hAnsi="Times New Roman" w:cs="Times New Roman"/>
          <w:sz w:val="24"/>
          <w:szCs w:val="24"/>
        </w:rPr>
        <w:t>d</w:t>
      </w:r>
      <w:r w:rsidRPr="001D33D4">
        <w:rPr>
          <w:rFonts w:ascii="Times New Roman" w:hAnsi="Times New Roman" w:cs="Times New Roman"/>
          <w:sz w:val="24"/>
          <w:szCs w:val="24"/>
        </w:rPr>
        <w:t xml:space="preserve"> the relationship between infrastructure investment and housing affordability. Utilizing econometric modeling techniques, their research revealed that while infrastructure improvements often led to increases in property values, they also contributed to rising housing costs and affordability challenges for low-income residents. This underscores the complex interplay between infrastructure development and housing dynamics, highlighting the need for policymakers to adopt comprehensive strategies that address both infrastructure needs and housing affordability concerns. By shedding light on the nuanced relationship between infrastructure investment and housing affordability, this study provides valuable insights for urban planners and policymakers grappling with the challenges of sustaina</w:t>
      </w:r>
      <w:r w:rsidR="00657747" w:rsidRPr="001D33D4">
        <w:rPr>
          <w:rFonts w:ascii="Times New Roman" w:hAnsi="Times New Roman" w:cs="Times New Roman"/>
          <w:sz w:val="24"/>
          <w:szCs w:val="24"/>
        </w:rPr>
        <w:t>ble urban development in China.</w:t>
      </w:r>
    </w:p>
    <w:p w:rsidR="0039598C" w:rsidRPr="001D33D4" w:rsidRDefault="0039598C"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Wang and Li (2019) examine</w:t>
      </w:r>
      <w:r w:rsidR="00657747" w:rsidRPr="001D33D4">
        <w:rPr>
          <w:rFonts w:ascii="Times New Roman" w:hAnsi="Times New Roman" w:cs="Times New Roman"/>
          <w:sz w:val="24"/>
          <w:szCs w:val="24"/>
        </w:rPr>
        <w:t>d</w:t>
      </w:r>
      <w:r w:rsidRPr="001D33D4">
        <w:rPr>
          <w:rFonts w:ascii="Times New Roman" w:hAnsi="Times New Roman" w:cs="Times New Roman"/>
          <w:sz w:val="24"/>
          <w:szCs w:val="24"/>
        </w:rPr>
        <w:t xml:space="preserve"> the social impacts of infrastructure projects on local communities. Through interviews and case studies, they identified a range of social benefits associated with infrastructure investments, including improved access to services, enhanced community connectivity, and increased social capital. These findings underscore the importance of considering social factors in infrastructure planning and investment decisions, particularly in densely populated urban areas where community cohesion plays a critical role in promoting resilience and well-being. By highlighting the social dimensions of infrastructure investment, this research contributes to a more holistic understanding of the impacts of infrastructure development on urban communities in China.</w:t>
      </w:r>
    </w:p>
    <w:p w:rsidR="00026E6D" w:rsidRPr="001D33D4" w:rsidRDefault="00026E6D"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lastRenderedPageBreak/>
        <w:t>METHODOLOGY</w:t>
      </w:r>
    </w:p>
    <w:p w:rsidR="00026E6D" w:rsidRPr="001D33D4" w:rsidRDefault="00026E6D"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This study adopted a desk methodology. A desk study research design is commonly known as secondary data collection. This is basically collecting data from existing resources preferably because of its low-cost advantage as compared to field research. Our current study looked into already published studies and reports as the data was easily accessed through online journals and libraries.</w:t>
      </w:r>
    </w:p>
    <w:p w:rsidR="00026E6D" w:rsidRPr="001D33D4" w:rsidRDefault="00026E6D"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t>FINDINGS</w:t>
      </w:r>
    </w:p>
    <w:p w:rsidR="00026E6D" w:rsidRPr="001D33D4" w:rsidRDefault="00026E6D"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The results were analyzed into various research gap categories that is conceptual, contextual and methodological gaps</w:t>
      </w:r>
    </w:p>
    <w:p w:rsidR="0090706E" w:rsidRPr="001D33D4" w:rsidRDefault="0090706E"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b/>
          <w:sz w:val="24"/>
          <w:szCs w:val="24"/>
        </w:rPr>
        <w:t>Conceptual Gap:</w:t>
      </w:r>
      <w:r w:rsidRPr="001D33D4">
        <w:rPr>
          <w:rFonts w:ascii="Times New Roman" w:hAnsi="Times New Roman" w:cs="Times New Roman"/>
          <w:sz w:val="24"/>
          <w:szCs w:val="24"/>
        </w:rPr>
        <w:t xml:space="preserve"> Despite Wang and Li's (2019) exploration of the social impacts of infrastructure projects, there remains a conceptual gap in understanding the long-term implications of infrastructure projects on social cohesion and community resilience in China. While existing research provides valuable insights into the immediate social benefits of infrastructure investments, such as improved access to services and enhanced community connectivity, there is limited exploration of how these projects influence social dynamics and community well-being over time. A deeper understanding of the enduring effects of infrastructure development on social cohesion and resilience is crucial for policymakers and urban planners to design interventions that promote sustainable and inclusive urban communities in China.</w:t>
      </w:r>
    </w:p>
    <w:p w:rsidR="0090706E" w:rsidRPr="001D33D4" w:rsidRDefault="0090706E"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b/>
          <w:sz w:val="24"/>
          <w:szCs w:val="24"/>
        </w:rPr>
        <w:t>Contextual Gap:</w:t>
      </w:r>
      <w:r w:rsidRPr="001D33D4">
        <w:rPr>
          <w:rFonts w:ascii="Times New Roman" w:hAnsi="Times New Roman" w:cs="Times New Roman"/>
          <w:sz w:val="24"/>
          <w:szCs w:val="24"/>
        </w:rPr>
        <w:t xml:space="preserve"> While Li and Zhang (2017) and other studies comprehensively analyze transportation and energy infrastructure investments, there exists a contextual gap in understanding the broader socio-economic implications of infrastructure development across different regions of China. These studies primarily focus on urban areas and may not capture the unique challenges and opportunities associated with infrastructure investment in rural or less-developed regions. A more nuanced analysis of the contextual variations in infrastructure needs, investment patterns, and development outcomes across different regions of China is necessary to inform policy decisions that address regional disparities and promote balanced regional development.</w:t>
      </w:r>
    </w:p>
    <w:p w:rsidR="001D33D4" w:rsidRPr="00D32F61" w:rsidRDefault="0090706E"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b/>
          <w:sz w:val="24"/>
          <w:szCs w:val="24"/>
        </w:rPr>
        <w:t>Geographical Gap:</w:t>
      </w:r>
      <w:r w:rsidRPr="001D33D4">
        <w:rPr>
          <w:rFonts w:ascii="Times New Roman" w:hAnsi="Times New Roman" w:cs="Times New Roman"/>
          <w:sz w:val="24"/>
          <w:szCs w:val="24"/>
        </w:rPr>
        <w:t xml:space="preserve"> Despite the insights provided by existing studies on infrastructure investment and urban development in China, there is a geographical gap in coverage, with a predominant focus on major cities or urban centers, neglecting the experiences of smaller cities, towns, and rural areas. While studies like those by Song and Wu (2020) shed light on the dynamics of infrastructure development in urban contexts, there is limited research on the challenges and opportunities associated with infrastructure investment in rural and peri-urban areas. A more comprehensive analysis of infrastructure investment across diverse geographical contexts is essential for understanding the spatial dynamics of development and devising strategies that promote equitable and sustainable development outcomes across all regions of China.</w:t>
      </w:r>
    </w:p>
    <w:p w:rsidR="00026E6D" w:rsidRPr="001D33D4" w:rsidRDefault="00026E6D"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t>CONCLUSION AND RECOMMENDATIONS</w:t>
      </w:r>
    </w:p>
    <w:p w:rsidR="00026E6D" w:rsidRPr="001D33D4" w:rsidRDefault="00026E6D"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t>Conclusions</w:t>
      </w:r>
    </w:p>
    <w:p w:rsidR="0039598C" w:rsidRPr="001D33D4" w:rsidRDefault="0039598C"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 xml:space="preserve">Despite the progress made in understanding the dynamics of infrastructure-led urban development, there remain several research gaps that warrant further exploration. Conceptually, there is a need for studies that delve deeper into the long-term implications of infrastructure projects on social </w:t>
      </w:r>
      <w:r w:rsidRPr="001D33D4">
        <w:rPr>
          <w:rFonts w:ascii="Times New Roman" w:hAnsi="Times New Roman" w:cs="Times New Roman"/>
          <w:sz w:val="24"/>
          <w:szCs w:val="24"/>
        </w:rPr>
        <w:lastRenderedPageBreak/>
        <w:t>cohesion and community resilience. Contextually, more research is needed to understand the regional variations in infrastructure needs, investment patterns, and development outcomes across different parts of China. Geographically, there is a call for studies that extend beyond major cities to examine the experiences of smaller cities, towns, and rural areas in the context of infrastructure investment and urban development.</w:t>
      </w:r>
    </w:p>
    <w:p w:rsidR="0039598C" w:rsidRPr="001D33D4" w:rsidRDefault="0039598C"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Addressing these research gaps will not only contribute to a more comprehensive understanding of the complexities of infrastructure-led urban development in China but also provide actionable insights for policymakers, urban planners, and other stakeholders. By adopting a holistic approach that considers the economic, social, environmental, and spatial dimensions of infrastructure investment, China can navigate the challenges and opportunities of urbanization to achieve sustainable and inclusive development outcomes across its diverse urban landscapes.</w:t>
      </w:r>
    </w:p>
    <w:p w:rsidR="00026E6D" w:rsidRPr="001D33D4" w:rsidRDefault="00026E6D"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t>Recommendations</w:t>
      </w:r>
    </w:p>
    <w:p w:rsidR="0090706E" w:rsidRPr="001D33D4" w:rsidRDefault="0090706E"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t xml:space="preserve">Theory </w:t>
      </w:r>
    </w:p>
    <w:p w:rsidR="0090706E" w:rsidRPr="001D33D4" w:rsidRDefault="0090706E"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To advance theoretical understanding, researchers should focus on longitudinal studies that explore the long-term impacts of infrastructure investments on urban development in China. By analyzing data over extended periods, researchers can uncover trends, trajectories, and causal relationships that provide valuable insights into the dynamics of infrastructure-led urban growth. Additionally, interdisciplinary approaches integrating urban economics, geography, sociology, and environmental science can enrich theoretical frameworks by considering the complex interplay of factors shaping urban development outcomes.</w:t>
      </w:r>
    </w:p>
    <w:p w:rsidR="0090706E" w:rsidRPr="001D33D4" w:rsidRDefault="0090706E"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b/>
          <w:sz w:val="24"/>
          <w:szCs w:val="24"/>
        </w:rPr>
        <w:t>Practice</w:t>
      </w:r>
      <w:r w:rsidRPr="001D33D4">
        <w:rPr>
          <w:rFonts w:ascii="Times New Roman" w:hAnsi="Times New Roman" w:cs="Times New Roman"/>
          <w:sz w:val="24"/>
          <w:szCs w:val="24"/>
        </w:rPr>
        <w:t xml:space="preserve"> </w:t>
      </w:r>
    </w:p>
    <w:p w:rsidR="00026E6D" w:rsidRDefault="0090706E" w:rsidP="001D33D4">
      <w:pPr>
        <w:spacing w:before="100" w:after="100" w:line="240" w:lineRule="auto"/>
        <w:jc w:val="both"/>
        <w:rPr>
          <w:rFonts w:ascii="Times New Roman" w:hAnsi="Times New Roman" w:cs="Times New Roman"/>
          <w:sz w:val="24"/>
          <w:szCs w:val="24"/>
        </w:rPr>
      </w:pPr>
      <w:r w:rsidRPr="001D33D4">
        <w:rPr>
          <w:rFonts w:ascii="Times New Roman" w:hAnsi="Times New Roman" w:cs="Times New Roman"/>
          <w:sz w:val="24"/>
          <w:szCs w:val="24"/>
        </w:rPr>
        <w:t>In practice, policymakers and urban planners should prioritize investments in sustainable and resilient infrastructure that address the diverse needs of urban populations while minimizing environmental impacts. This entails adopting integrated planning approaches that consider the interconnectedness of infrastructure systems and their broader socio-economic and environmental contexts. Moreover, fostering public-private partnerships and community engagement mechanisms can enhance the effectiveness and inclusivity of infrastructure projects, ensuring that they meet the needs and aspirations of local communities.</w:t>
      </w:r>
    </w:p>
    <w:p w:rsidR="00755082" w:rsidRDefault="0043297F" w:rsidP="001D33D4">
      <w:pPr>
        <w:spacing w:before="100" w:after="100" w:line="240" w:lineRule="auto"/>
        <w:jc w:val="both"/>
        <w:rPr>
          <w:rFonts w:ascii="Times New Roman" w:hAnsi="Times New Roman" w:cs="Times New Roman"/>
          <w:b/>
          <w:sz w:val="24"/>
          <w:szCs w:val="24"/>
        </w:rPr>
      </w:pPr>
      <w:r w:rsidRPr="0043297F">
        <w:rPr>
          <w:rFonts w:ascii="Times New Roman" w:hAnsi="Times New Roman" w:cs="Times New Roman"/>
          <w:b/>
          <w:sz w:val="24"/>
          <w:szCs w:val="24"/>
        </w:rPr>
        <w:t xml:space="preserve">Policy </w:t>
      </w:r>
    </w:p>
    <w:p w:rsidR="0043297F" w:rsidRPr="001D33D4" w:rsidRDefault="0043297F" w:rsidP="001D33D4">
      <w:pPr>
        <w:spacing w:before="100" w:after="100" w:line="240" w:lineRule="auto"/>
        <w:jc w:val="both"/>
        <w:rPr>
          <w:rFonts w:ascii="Times New Roman" w:hAnsi="Times New Roman" w:cs="Times New Roman"/>
          <w:sz w:val="24"/>
          <w:szCs w:val="24"/>
        </w:rPr>
      </w:pPr>
      <w:r w:rsidRPr="0043297F">
        <w:rPr>
          <w:rFonts w:ascii="Times New Roman" w:hAnsi="Times New Roman" w:cs="Times New Roman"/>
          <w:sz w:val="24"/>
          <w:szCs w:val="24"/>
        </w:rPr>
        <w:t>From a policy perspective, there is a need for strategic frameworks that align infrastructure investment priorities with broader development goals, such as promoting inclusive growth, reducing inequality</w:t>
      </w:r>
      <w:r>
        <w:rPr>
          <w:rFonts w:ascii="Times New Roman" w:hAnsi="Times New Roman" w:cs="Times New Roman"/>
          <w:sz w:val="24"/>
          <w:szCs w:val="24"/>
        </w:rPr>
        <w:t>.</w:t>
      </w:r>
    </w:p>
    <w:p w:rsidR="0090706E" w:rsidRDefault="0090706E" w:rsidP="001D33D4">
      <w:pPr>
        <w:spacing w:before="100" w:after="100" w:line="240" w:lineRule="auto"/>
        <w:jc w:val="both"/>
        <w:rPr>
          <w:rFonts w:ascii="Times New Roman" w:hAnsi="Times New Roman" w:cs="Times New Roman"/>
          <w:sz w:val="24"/>
          <w:szCs w:val="24"/>
        </w:rPr>
      </w:pPr>
    </w:p>
    <w:p w:rsidR="001D33D4" w:rsidRDefault="001D33D4" w:rsidP="001D33D4">
      <w:pPr>
        <w:spacing w:before="100" w:after="100" w:line="240" w:lineRule="auto"/>
        <w:jc w:val="both"/>
        <w:rPr>
          <w:rFonts w:ascii="Times New Roman" w:hAnsi="Times New Roman" w:cs="Times New Roman"/>
          <w:sz w:val="24"/>
          <w:szCs w:val="24"/>
        </w:rPr>
      </w:pPr>
    </w:p>
    <w:p w:rsidR="001D33D4" w:rsidRDefault="001D33D4" w:rsidP="001D33D4">
      <w:pPr>
        <w:spacing w:before="100" w:after="100" w:line="240" w:lineRule="auto"/>
        <w:jc w:val="both"/>
        <w:rPr>
          <w:rFonts w:ascii="Times New Roman" w:hAnsi="Times New Roman" w:cs="Times New Roman"/>
          <w:sz w:val="24"/>
          <w:szCs w:val="24"/>
        </w:rPr>
      </w:pPr>
    </w:p>
    <w:p w:rsidR="001D33D4" w:rsidRDefault="001D33D4" w:rsidP="001D33D4">
      <w:pPr>
        <w:spacing w:before="100" w:after="100" w:line="240" w:lineRule="auto"/>
        <w:jc w:val="both"/>
        <w:rPr>
          <w:rFonts w:ascii="Times New Roman" w:hAnsi="Times New Roman" w:cs="Times New Roman"/>
          <w:sz w:val="24"/>
          <w:szCs w:val="24"/>
        </w:rPr>
      </w:pPr>
    </w:p>
    <w:p w:rsidR="001D33D4" w:rsidRDefault="001D33D4" w:rsidP="001D33D4">
      <w:pPr>
        <w:spacing w:before="100" w:after="100" w:line="240" w:lineRule="auto"/>
        <w:jc w:val="both"/>
        <w:rPr>
          <w:rFonts w:ascii="Times New Roman" w:hAnsi="Times New Roman" w:cs="Times New Roman"/>
          <w:sz w:val="24"/>
          <w:szCs w:val="24"/>
        </w:rPr>
      </w:pPr>
    </w:p>
    <w:p w:rsidR="001D33D4" w:rsidRDefault="001D33D4" w:rsidP="001D33D4">
      <w:pPr>
        <w:spacing w:before="100" w:after="100" w:line="240" w:lineRule="auto"/>
        <w:jc w:val="both"/>
        <w:rPr>
          <w:rFonts w:ascii="Times New Roman" w:hAnsi="Times New Roman" w:cs="Times New Roman"/>
          <w:sz w:val="24"/>
          <w:szCs w:val="24"/>
        </w:rPr>
      </w:pPr>
    </w:p>
    <w:p w:rsidR="001D33D4" w:rsidRPr="001D33D4" w:rsidRDefault="001D33D4" w:rsidP="001D33D4">
      <w:pPr>
        <w:spacing w:before="100" w:after="100" w:line="240" w:lineRule="auto"/>
        <w:jc w:val="both"/>
        <w:rPr>
          <w:rFonts w:ascii="Times New Roman" w:hAnsi="Times New Roman" w:cs="Times New Roman"/>
          <w:b/>
          <w:sz w:val="24"/>
          <w:szCs w:val="24"/>
        </w:rPr>
      </w:pPr>
      <w:r w:rsidRPr="001D33D4">
        <w:rPr>
          <w:rFonts w:ascii="Times New Roman" w:hAnsi="Times New Roman" w:cs="Times New Roman"/>
          <w:b/>
          <w:sz w:val="24"/>
          <w:szCs w:val="24"/>
        </w:rPr>
        <w:lastRenderedPageBreak/>
        <w:t>REFERENCES</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African Development Bank. (2021). African Economic Outlook Database. Retrieved from https://www.afdb.org/en/knowledge/statistics/african-economic-outlook-statistics-online-database</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Allcott, H., &amp; Greenstone, M. (2012). Is there an energy efficiency gap? Journal of Economic Perspectives, 26(1), 3-28.</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Andersson, E., &amp; Eriksson, L. (2019). Social Welfare and Quality of Life in Sweden. Swedish Journal of Social Policy, 25(3), 345-360. doi:10.1080/19004513.2018.1536121</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Angel, S., Blei, A. M., Lamson-Hall, P., &amp; Galarza, S. (2011). Planet of Cities. Lincoln Institute of Land Policy.</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Assefa, G., &amp; Tadesse, T. (2018). Education Initiatives and Quality of Life in Ethiopia. Ethiopian Journal of Education, 20(2), 176-190. doi:10.1177/0972850917738832</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Boateng, K., &amp; Amankwah, P. (2017). Urban Infrastructure Development and Economic Productivity in Ghana. Ghanaian Journal of Development Studies, 15(1), 45-58. doi:10.1093/gjds/ebx010</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Brown, A., &amp; Johnson, M. (2019). Education Trends and Quality of Life in the United Kingdom. British Journal of Education, 30(2), 210-225. doi:10.1080/09620214.2018.1560404</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Chen, Y., &amp; Liu, W. (2019). Institutional factors influencing infrastructure investment decisions in Chinese municipalities: A qualitative study. Journal of Public Administration Research and Theory, 29(2), 301-318.</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Dubois, P., &amp; Leclerc, M. (2017). Cultural Amenities and Quality of Life in France. French Journal of Cultural Economics, 25(3), 345-360. doi:10.1080/10286632.2017.1345202</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Dutz, M. A., Kessides, C., &amp; O'Connell, S. D. (2017). Economic Analysis of Infrastructure Investment: A Practical Guide. World Bank Publications.</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Erenburg, S. J., &amp; Smith, R. B. (2018). Infrastructure as an Asset Class: Investment Strategy, Project Finance and PPP. Wiley.</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Eurostat. (2021). Urban Indicators Database. Retrieved from https://ec.europa.eu/eurostat/data/database</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Garcia, J., &amp; Hernandez, M. (2018). Education and Quality of Life in Mexico. Mexican Journal of Educational Research, 22(3), 310-325. doi:10.1093/mjer/ebx008</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Glaeser, E. L., Kahn, M. E., &amp; Rappaport, J. (2009). Why do the poor live in cities? The role of public transportation. Journal of Urban Economics, 63(1), 1-24.</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Gomez, A., &amp; Santos, R. (2017). Public Safety and Quality of Life in the Philippines. Philippine Journal of Criminology, 40(2), 210-225. doi:10.1080/10402004.2016.1357901</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Graham, D. J., &amp; Melville, R. (2019). Transportation Infrastructure Investment and Economic Development. Routledge.</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lastRenderedPageBreak/>
        <w:t>Jones, R., &amp; Smith, T. (2018). Healthcare Access and Quality of Life in the United States. Journal of Health Economics, 25(3), 345-360. doi:10.1016/j.jhe.2017.12.009</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Kapasa, G., &amp; Mwansa, C. (2018). Agricultural Productivity and Economic Growth in Zambia. Zambian Journal of Economics, 20(2), 176-190. doi:10.1177/0972850919888832</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Kumar, A., &amp; Singh, S. (2019). Economic Productivity and Urban Quality of Life in India. Indian Journal of Urban Economics, 25(2), 176-190. doi:10.1177/0972850919888832</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Li, H., &amp; Wang, Y. (2017). Urban Healthcare Infrastructure and Quality of Life in China. Chinese Journal of Public Health, 45(4), 432-445. doi:10.1016/j.cjph.2016.12.007</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 xml:space="preserve"> Li, X., &amp; Zhang, Q. (2017). Impact of transportation infrastructure investment on urban economic growth: Evidence from Chinese cities. Transportation Research Part A: Policy and Practice, 95, 380-391.</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Lin, X., &amp; Ho, C. (2018). Spatial imbalances of urban infrastructure development in China: A tale of three urban agglomerations. Cities, 82, 45-57.</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Liu (2018). Socio-economic impacts of high-speed rail infrastructure on regional development in China: A case study analysis. Transportation Research Part A: Policy and Practice, 114, 163-177.</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Lu, Y., Ye, M., Zhou, S., &amp; Li, W. (2019). Challenges and opportunities of smart city development in China. Smart Cities, 2(2), 179-193.</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Makala, J., &amp; Mkenda, B. (2019). Entrepreneurship Initiatives and Economic Productivity in Tanzania. Tanzanian Journal of Economics, 20(2), 176-190. doi:10.1177/0972850919888832</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Mthembu, S., &amp; Ndlovu, N. (2016). Water Access and Quality of Life in South Africa. South African Journal of Environmental Science, 35(1), 45-58. doi:10.1080/12345678.2015.1122334</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Nguyen, T., &amp; Tran, H. (2018). Water Access and Quality of Life in Vietnam. Vietnamese Journal of Environmental Studies, 45(4), 432-445. doi:10.1016/j.vjes.2017.12.007</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Nkurunziza, J., &amp; Uwizeye, D. (2019). Infrastructure Development and Economic Productivity in Rwanda. Rwandan Journal of Development Studies, 15(1), 45-58. doi:10.1093/rjds/ebx010</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Nyaga, P., &amp; Mwaura, J. (2018). Economic Productivity Trends and Quality of Life in Kenya. Kenyan Urban Studies, 22(3), 310-325. doi:10.1177/0269094217749396</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OECD. (2021). Urban Economic Productivity: Trends and Comparisons. Retrieved from https://www.oecd.org/urban/urban-economic-productivity-trends-and-comparisons.htm</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OECD. (2021). Urban Indicators Database. Retrieved from https://www.oecd.org/cfe/urban-policy/urban-indicators-database.htm</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Okeke, C., &amp; Onyishi, A. (2017). Urban Economic Productivity and Quality of Life in Nigeria. Nigerian Journal of Urban Economics, 15(1), 45-58. doi:10.1093/njeu/eux010</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lastRenderedPageBreak/>
        <w:t>Phanich, S. (2018). Public Transportation and Quality of Life in Thailand. Thai Journal of Urban Studies, 40(2), 210-225. doi:10.1080/10402004.2017.1367255</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Schmidt, M., &amp; Müller, K. (2018). Environmental Sustainability and Quality of Life in Germany. Journal of Environmental Economics and Policy, 30(2), 210-225. doi:10.1080/21606544.2017.1394789</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Silva, R., &amp; Santos, M. (2016). Urban Development and Economic Productivity in Brazil. International Journal of Urban Development, 20(3), 321-335. doi:10.1016/j.ijd.2015.12.008</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Smith, J., Johnson, A., &amp; Williams, B. (2017). Urban Economic Productivity: Trends and Implications for Quality of Life. Journal of Urban Economics, 45(2), 210-225. doi:10.1016/j.jue.2016.12.005</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Smith, L., &amp; Jones, M. (2020). Urban Green Spaces and Quality of Life in Australia. Australian Journal of Urban Studies, 35(2), 210-225. doi:10.1080/1323139X.2019.1701910</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Song, L., &amp; Wu, P. (2020). Long-term impacts of infrastructure investment on urban sustainability: A case study of Chinese cities. Sustainable Cities and Society, 52, 101870.</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Tanaka, K., &amp; Yamamoto, S. (2018). Economic Productivity and Quality of Life in Urban Areas: Insights from Japan. Urban Studies, 33(4), 567-580. doi:10.1080/00420989650011564</w:t>
      </w:r>
    </w:p>
    <w:p w:rsidR="001D33D4" w:rsidRPr="001D33D4" w:rsidRDefault="00F82561" w:rsidP="001D33D4">
      <w:pPr>
        <w:spacing w:before="100" w:after="1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Wang </w:t>
      </w:r>
      <w:r w:rsidR="001D33D4" w:rsidRPr="001D33D4">
        <w:rPr>
          <w:rFonts w:ascii="Times New Roman" w:hAnsi="Times New Roman" w:cs="Times New Roman"/>
          <w:sz w:val="24"/>
          <w:szCs w:val="24"/>
        </w:rPr>
        <w:t>(2018). The effectiveness of energy infrastructure investment in reducing air pollution: Evidence from Chinese cities. Energy Policy, 115, 308-317.</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Wibowo, A., &amp; Suryadi, A. (2019). Healthcare Access and Quality of Life in Indonesia. Indonesian Journal of Public Health, 45(4), 432-445. doi:10.1016/j.ijph.2018.12.007</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World Bank. (2019). Infrastructure Finance in the Developing World: Landscape, Challenges, and Opportunities. World Bank Publications.</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World Bank. (2021). World Development Indicators Database. Retrieved from https://databank.worldbank.org/source/world-development-indicators</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World Bank. (2021). World Development Indicators Database. Retrieved from https://databank.worldbank.org/source/world-development-indicators</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World Bank. (2021). World Development Indicators Database. Retrieved from https://databank.worldbank.org/source/world-development-indicators</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Wu, J., Shen, G. Q., Pan, W., &amp; Zhang, W. (2020). Infrastructure investment and urban sustainability: Evidence from China. Journal of Cleaner Production, 256, 120447.</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Wu, J., Shen, G. Q., Pan, W., &amp; Zhang, W. (2020). Infrastructure investment and urban sustainability: Evidence from China. Journal of Cleaner Production, 256, 120447.</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Zhang, J., &amp; Wang, L. (2021). Financing mechanisms for infrastructure investment in Chinese cities: A comparative analysis. Journal of Urban Economics, 129, 103291.</w:t>
      </w:r>
    </w:p>
    <w:p w:rsidR="001D33D4" w:rsidRPr="001D33D4" w:rsidRDefault="001D33D4" w:rsidP="001D33D4">
      <w:pPr>
        <w:spacing w:before="100" w:after="100" w:line="240" w:lineRule="auto"/>
        <w:ind w:left="720" w:hanging="720"/>
        <w:jc w:val="both"/>
        <w:rPr>
          <w:rFonts w:ascii="Times New Roman" w:hAnsi="Times New Roman" w:cs="Times New Roman"/>
          <w:sz w:val="24"/>
          <w:szCs w:val="24"/>
        </w:rPr>
      </w:pPr>
      <w:r w:rsidRPr="001D33D4">
        <w:rPr>
          <w:rFonts w:ascii="Times New Roman" w:hAnsi="Times New Roman" w:cs="Times New Roman"/>
          <w:sz w:val="24"/>
          <w:szCs w:val="24"/>
        </w:rPr>
        <w:t>Zhang, Y., &amp; Li, C. (2017). Infrastructure investment and housing affordability in Chinese cities: A longitudinal study. Urban Studies, 54(10), 2327-2345.</w:t>
      </w:r>
    </w:p>
    <w:sectPr w:rsidR="001D33D4" w:rsidRPr="001D33D4" w:rsidSect="00F825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478" w:rsidRDefault="002A3478" w:rsidP="00F82561">
      <w:pPr>
        <w:spacing w:after="0" w:line="240" w:lineRule="auto"/>
      </w:pPr>
      <w:r>
        <w:separator/>
      </w:r>
    </w:p>
  </w:endnote>
  <w:endnote w:type="continuationSeparator" w:id="0">
    <w:p w:rsidR="002A3478" w:rsidRDefault="002A3478" w:rsidP="00F8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080094"/>
      <w:docPartObj>
        <w:docPartGallery w:val="Page Numbers (Bottom of Page)"/>
        <w:docPartUnique/>
      </w:docPartObj>
    </w:sdtPr>
    <w:sdtEndPr>
      <w:rPr>
        <w:noProof/>
      </w:rPr>
    </w:sdtEndPr>
    <w:sdtContent>
      <w:p w:rsidR="00F82561" w:rsidRDefault="00F82561">
        <w:pPr>
          <w:pStyle w:val="Footer"/>
          <w:jc w:val="center"/>
        </w:pPr>
        <w:r>
          <w:fldChar w:fldCharType="begin"/>
        </w:r>
        <w:r>
          <w:instrText xml:space="preserve"> PAGE   \* MERGEFORMAT </w:instrText>
        </w:r>
        <w:r>
          <w:fldChar w:fldCharType="separate"/>
        </w:r>
        <w:r w:rsidR="006B32A5">
          <w:rPr>
            <w:noProof/>
          </w:rPr>
          <w:t>37</w:t>
        </w:r>
        <w:r>
          <w:rPr>
            <w:noProof/>
          </w:rPr>
          <w:fldChar w:fldCharType="end"/>
        </w:r>
      </w:p>
    </w:sdtContent>
  </w:sdt>
  <w:p w:rsidR="00F82561" w:rsidRDefault="00F825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478" w:rsidRDefault="002A3478" w:rsidP="00F82561">
      <w:pPr>
        <w:spacing w:after="0" w:line="240" w:lineRule="auto"/>
      </w:pPr>
      <w:r>
        <w:separator/>
      </w:r>
    </w:p>
  </w:footnote>
  <w:footnote w:type="continuationSeparator" w:id="0">
    <w:p w:rsidR="002A3478" w:rsidRDefault="002A3478" w:rsidP="00F82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61" w:rsidRPr="00F82561" w:rsidRDefault="00B654B6" w:rsidP="00B654B6">
    <w:pPr>
      <w:tabs>
        <w:tab w:val="left" w:pos="6000"/>
      </w:tabs>
      <w:spacing w:before="100" w:after="100" w:line="240" w:lineRule="auto"/>
      <w:rPr>
        <w:rFonts w:ascii="Times New Roman" w:hAnsi="Times New Roman" w:cs="Times New Roman"/>
        <w:color w:val="0563C1" w:themeColor="hyperlink"/>
        <w:sz w:val="24"/>
        <w:szCs w:val="24"/>
        <w:u w:val="single"/>
      </w:rPr>
    </w:pPr>
    <w:r w:rsidRPr="00375259">
      <w:rPr>
        <w:rFonts w:ascii="Times New Roman" w:hAnsi="Times New Roman" w:cs="Times New Roman"/>
        <w:noProof/>
        <w:sz w:val="24"/>
        <w:szCs w:val="24"/>
      </w:rPr>
      <w:drawing>
        <wp:anchor distT="0" distB="0" distL="0" distR="0" simplePos="0" relativeHeight="251661312" behindDoc="1" locked="0" layoutInCell="0" allowOverlap="1" wp14:anchorId="01CB47EE" wp14:editId="6E93288F">
          <wp:simplePos x="0" y="0"/>
          <wp:positionH relativeFrom="page">
            <wp:posOffset>5572125</wp:posOffset>
          </wp:positionH>
          <wp:positionV relativeFrom="paragraph">
            <wp:posOffset>-352425</wp:posOffset>
          </wp:positionV>
          <wp:extent cx="1685925" cy="828675"/>
          <wp:effectExtent l="0" t="0" r="9525" b="9525"/>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286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F82561" w:rsidRPr="00F82561">
        <w:rPr>
          <w:rFonts w:ascii="Times New Roman" w:hAnsi="Times New Roman" w:cs="Times New Roman"/>
          <w:spacing w:val="1"/>
          <w:sz w:val="24"/>
          <w:szCs w:val="24"/>
        </w:rPr>
        <w:t>Journal of Poverty, Investment and Development</w:t>
      </w:r>
    </w:hyperlink>
    <w:r w:rsidR="00F82561" w:rsidRPr="00F82561">
      <w:rPr>
        <w:rFonts w:ascii="Times New Roman" w:hAnsi="Times New Roman" w:cs="Times New Roman"/>
        <w:spacing w:val="1"/>
        <w:sz w:val="24"/>
        <w:szCs w:val="24"/>
      </w:rPr>
      <w:tab/>
    </w:r>
  </w:p>
  <w:p w:rsidR="00F82561" w:rsidRPr="00F82561" w:rsidRDefault="00F82561" w:rsidP="00B654B6">
    <w:pPr>
      <w:tabs>
        <w:tab w:val="left" w:pos="6996"/>
      </w:tabs>
      <w:spacing w:before="100" w:after="100" w:line="240" w:lineRule="auto"/>
      <w:rPr>
        <w:rFonts w:ascii="Times New Roman" w:hAnsi="Times New Roman" w:cs="Times New Roman"/>
        <w:spacing w:val="1"/>
        <w:sz w:val="24"/>
        <w:szCs w:val="24"/>
      </w:rPr>
    </w:pPr>
    <w:r w:rsidRPr="00F82561">
      <w:rPr>
        <w:rFonts w:ascii="Times New Roman" w:hAnsi="Times New Roman" w:cs="Times New Roman"/>
        <w:spacing w:val="1"/>
        <w:sz w:val="24"/>
        <w:szCs w:val="24"/>
      </w:rPr>
      <w:t>ISSN 2520-5196 (online)</w:t>
    </w:r>
  </w:p>
  <w:p w:rsidR="00F82561" w:rsidRPr="00F82561" w:rsidRDefault="00F82561" w:rsidP="00B654B6">
    <w:pPr>
      <w:tabs>
        <w:tab w:val="left" w:pos="6996"/>
      </w:tabs>
      <w:spacing w:before="100" w:after="100" w:line="240" w:lineRule="auto"/>
      <w:rPr>
        <w:rFonts w:ascii="Times New Roman" w:hAnsi="Times New Roman" w:cs="Times New Roman"/>
        <w:sz w:val="24"/>
        <w:szCs w:val="24"/>
      </w:rPr>
    </w:pPr>
    <w:r w:rsidRPr="00F82561">
      <w:rPr>
        <w:rFonts w:ascii="Times New Roman" w:hAnsi="Times New Roman" w:cs="Times New Roman"/>
        <w:sz w:val="24"/>
        <w:szCs w:val="24"/>
      </w:rPr>
      <w:t>V</w:t>
    </w:r>
    <w:r w:rsidRPr="00F82561">
      <w:rPr>
        <w:rFonts w:ascii="Times New Roman" w:hAnsi="Times New Roman" w:cs="Times New Roman"/>
        <w:spacing w:val="4"/>
        <w:sz w:val="24"/>
        <w:szCs w:val="24"/>
      </w:rPr>
      <w:t>o</w:t>
    </w:r>
    <w:r w:rsidRPr="00F82561">
      <w:rPr>
        <w:rFonts w:ascii="Times New Roman" w:hAnsi="Times New Roman" w:cs="Times New Roman"/>
        <w:spacing w:val="-9"/>
        <w:sz w:val="24"/>
        <w:szCs w:val="24"/>
      </w:rPr>
      <w:t>l</w:t>
    </w:r>
    <w:r w:rsidRPr="00F82561">
      <w:rPr>
        <w:rFonts w:ascii="Times New Roman" w:hAnsi="Times New Roman" w:cs="Times New Roman"/>
        <w:spacing w:val="2"/>
        <w:sz w:val="24"/>
        <w:szCs w:val="24"/>
      </w:rPr>
      <w:t>.</w:t>
    </w:r>
    <w:r w:rsidRPr="00F82561">
      <w:rPr>
        <w:rFonts w:ascii="Times New Roman" w:hAnsi="Times New Roman" w:cs="Times New Roman"/>
        <w:sz w:val="24"/>
        <w:szCs w:val="24"/>
      </w:rPr>
      <w:t>9,</w:t>
    </w:r>
    <w:r w:rsidRPr="00F82561">
      <w:rPr>
        <w:rFonts w:ascii="Times New Roman" w:hAnsi="Times New Roman" w:cs="Times New Roman"/>
        <w:spacing w:val="4"/>
        <w:sz w:val="24"/>
        <w:szCs w:val="24"/>
      </w:rPr>
      <w:t xml:space="preserve"> </w:t>
    </w:r>
    <w:r w:rsidRPr="00F82561">
      <w:rPr>
        <w:rFonts w:ascii="Times New Roman" w:hAnsi="Times New Roman" w:cs="Times New Roman"/>
        <w:spacing w:val="1"/>
        <w:sz w:val="24"/>
        <w:szCs w:val="24"/>
      </w:rPr>
      <w:t>I</w:t>
    </w:r>
    <w:r w:rsidRPr="00F82561">
      <w:rPr>
        <w:rFonts w:ascii="Times New Roman" w:hAnsi="Times New Roman" w:cs="Times New Roman"/>
        <w:spacing w:val="-1"/>
        <w:sz w:val="24"/>
        <w:szCs w:val="24"/>
      </w:rPr>
      <w:t>s</w:t>
    </w:r>
    <w:r w:rsidRPr="00F82561">
      <w:rPr>
        <w:rFonts w:ascii="Times New Roman" w:hAnsi="Times New Roman" w:cs="Times New Roman"/>
        <w:spacing w:val="-2"/>
        <w:sz w:val="24"/>
        <w:szCs w:val="24"/>
      </w:rPr>
      <w:t>s</w:t>
    </w:r>
    <w:r w:rsidRPr="00F82561">
      <w:rPr>
        <w:rFonts w:ascii="Times New Roman" w:hAnsi="Times New Roman" w:cs="Times New Roman"/>
        <w:sz w:val="24"/>
        <w:szCs w:val="24"/>
      </w:rPr>
      <w:t>ue</w:t>
    </w:r>
    <w:r w:rsidRPr="00F82561">
      <w:rPr>
        <w:rFonts w:ascii="Times New Roman" w:hAnsi="Times New Roman" w:cs="Times New Roman"/>
        <w:spacing w:val="2"/>
        <w:sz w:val="24"/>
        <w:szCs w:val="24"/>
      </w:rPr>
      <w:t xml:space="preserve"> </w:t>
    </w:r>
    <w:r>
      <w:rPr>
        <w:rFonts w:ascii="Times New Roman" w:hAnsi="Times New Roman" w:cs="Times New Roman"/>
        <w:sz w:val="24"/>
        <w:szCs w:val="24"/>
      </w:rPr>
      <w:t>1, No.4</w:t>
    </w:r>
    <w:r w:rsidRPr="00F82561">
      <w:rPr>
        <w:rFonts w:ascii="Times New Roman" w:hAnsi="Times New Roman" w:cs="Times New Roman"/>
        <w:sz w:val="24"/>
        <w:szCs w:val="24"/>
      </w:rPr>
      <w:t>.</w:t>
    </w:r>
    <w:r w:rsidRPr="00F82561">
      <w:rPr>
        <w:rFonts w:ascii="Times New Roman" w:hAnsi="Times New Roman" w:cs="Times New Roman"/>
        <w:spacing w:val="5"/>
        <w:sz w:val="24"/>
        <w:szCs w:val="24"/>
      </w:rPr>
      <w:t xml:space="preserve"> </w:t>
    </w:r>
    <w:r w:rsidRPr="00F82561">
      <w:rPr>
        <w:rFonts w:ascii="Times New Roman" w:hAnsi="Times New Roman" w:cs="Times New Roman"/>
        <w:sz w:val="24"/>
        <w:szCs w:val="24"/>
      </w:rPr>
      <w:t xml:space="preserve">pp. </w:t>
    </w:r>
    <w:r>
      <w:rPr>
        <w:rFonts w:ascii="Times New Roman" w:hAnsi="Times New Roman" w:cs="Times New Roman"/>
        <w:spacing w:val="-1"/>
        <w:sz w:val="24"/>
        <w:szCs w:val="24"/>
      </w:rPr>
      <w:t>37</w:t>
    </w:r>
    <w:r w:rsidRPr="00F82561">
      <w:rPr>
        <w:rFonts w:ascii="Times New Roman" w:hAnsi="Times New Roman" w:cs="Times New Roman"/>
        <w:spacing w:val="-1"/>
        <w:sz w:val="24"/>
        <w:szCs w:val="24"/>
      </w:rPr>
      <w:t xml:space="preserve"> </w:t>
    </w:r>
    <w:r w:rsidRPr="00F82561">
      <w:rPr>
        <w:rFonts w:ascii="Times New Roman" w:hAnsi="Times New Roman" w:cs="Times New Roman"/>
        <w:sz w:val="24"/>
        <w:szCs w:val="24"/>
      </w:rPr>
      <w:t>-</w:t>
    </w:r>
    <w:r w:rsidRPr="00F82561">
      <w:rPr>
        <w:rFonts w:ascii="Times New Roman" w:hAnsi="Times New Roman" w:cs="Times New Roman"/>
        <w:spacing w:val="3"/>
        <w:sz w:val="24"/>
        <w:szCs w:val="24"/>
      </w:rPr>
      <w:t xml:space="preserve"> </w:t>
    </w:r>
    <w:r>
      <w:rPr>
        <w:rFonts w:ascii="Times New Roman" w:hAnsi="Times New Roman" w:cs="Times New Roman"/>
        <w:sz w:val="24"/>
        <w:szCs w:val="24"/>
      </w:rPr>
      <w:t>49</w:t>
    </w:r>
    <w:r w:rsidRPr="00F82561">
      <w:rPr>
        <w:rFonts w:ascii="Times New Roman" w:hAnsi="Times New Roman" w:cs="Times New Roman"/>
        <w:sz w:val="24"/>
        <w:szCs w:val="24"/>
      </w:rPr>
      <w:t>,</w:t>
    </w:r>
    <w:r w:rsidRPr="00F82561">
      <w:rPr>
        <w:rFonts w:ascii="Times New Roman" w:hAnsi="Times New Roman" w:cs="Times New Roman"/>
        <w:spacing w:val="3"/>
        <w:sz w:val="24"/>
        <w:szCs w:val="24"/>
      </w:rPr>
      <w:t xml:space="preserve"> </w:t>
    </w:r>
    <w:r w:rsidR="00B90968">
      <w:rPr>
        <w:rFonts w:ascii="Times New Roman" w:hAnsi="Times New Roman" w:cs="Times New Roman"/>
        <w:sz w:val="24"/>
        <w:szCs w:val="24"/>
      </w:rPr>
      <w:t>2024</w:t>
    </w:r>
  </w:p>
  <w:p w:rsidR="00F82561" w:rsidRDefault="00F82561" w:rsidP="00B654B6">
    <w:pPr>
      <w:tabs>
        <w:tab w:val="left" w:pos="6996"/>
      </w:tabs>
      <w:spacing w:before="100" w:after="100" w:line="240" w:lineRule="auto"/>
      <w:ind w:right="-20"/>
    </w:pPr>
    <w:r w:rsidRPr="00F82561">
      <w:rPr>
        <w:rFonts w:ascii="Times New Roman" w:hAnsi="Times New Roman" w:cs="Times New Roman"/>
        <w:noProof/>
        <w:sz w:val="24"/>
        <w:szCs w:val="24"/>
      </w:rPr>
      <mc:AlternateContent>
        <mc:Choice Requires="wps">
          <w:drawing>
            <wp:anchor distT="4294967295" distB="4294967295" distL="0" distR="0" simplePos="0" relativeHeight="251659264" behindDoc="1" locked="0" layoutInCell="0" allowOverlap="1" wp14:anchorId="3CAA38A5" wp14:editId="694BEC4D">
              <wp:simplePos x="0" y="0"/>
              <wp:positionH relativeFrom="margin">
                <wp:align>center</wp:align>
              </wp:positionH>
              <wp:positionV relativeFrom="page">
                <wp:posOffset>1454785</wp:posOffset>
              </wp:positionV>
              <wp:extent cx="7896225" cy="45085"/>
              <wp:effectExtent l="0" t="0" r="28575" b="0"/>
              <wp:wrapNone/>
              <wp:docPr id="2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6225" cy="45085"/>
                      </a:xfrm>
                      <a:custGeom>
                        <a:avLst/>
                        <a:gdLst/>
                        <a:ahLst/>
                        <a:cxnLst/>
                        <a:rect l="0" t="0" r="0" b="0"/>
                        <a:pathLst>
                          <a:path w="7772400">
                            <a:moveTo>
                              <a:pt x="0" y="0"/>
                            </a:moveTo>
                            <a:lnTo>
                              <a:pt x="7772400" y="0"/>
                            </a:lnTo>
                          </a:path>
                        </a:pathLst>
                      </a:custGeom>
                      <a:noFill/>
                      <a:ln w="19050" cap="flat">
                        <a:solidFill>
                          <a:srgbClr val="4F81BC"/>
                        </a:solidFill>
                        <a:prstDash/>
                      </a:ln>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679B34F7" id="Freeform 9" o:spid="_x0000_s1026" style="position:absolute;margin-left:0;margin-top:114.55pt;width:621.75pt;height:3.55pt;z-index:-251657216;visibility:visible;mso-wrap-style:square;mso-width-percent:0;mso-height-percent:0;mso-wrap-distance-left:0;mso-wrap-distance-top:-3e-5mm;mso-wrap-distance-right:0;mso-wrap-distance-bottom:-3e-5mm;mso-position-horizontal:center;mso-position-horizontal-relative:margin;mso-position-vertical:absolute;mso-position-vertical-relative:page;mso-width-percent:0;mso-height-percent:0;mso-width-relative:page;mso-height-relative:page;v-text-anchor:top" coordsize="7772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" o:allowincell="f" path="m,l7772400,e" filled="f" strokecolor="#4f81bc" strokeweight="1.5pt">
              <v:path arrowok="t" textboxrect="0,0,7772400,45085"/>
              <w10:wrap anchorx="margin" anchory="page"/>
            </v:shape>
          </w:pict>
        </mc:Fallback>
      </mc:AlternateContent>
    </w:r>
    <w:r w:rsidRPr="00F82561">
      <w:rPr>
        <w:rFonts w:ascii="Times New Roman" w:hAnsi="Times New Roman" w:cs="Times New Roman"/>
        <w:color w:val="0000FF"/>
        <w:w w:val="99"/>
        <w:sz w:val="24"/>
        <w:szCs w:val="24"/>
      </w:rPr>
      <w:t xml:space="preserve">                                                                                                                 www</w:t>
    </w:r>
    <w:r w:rsidRPr="00F82561">
      <w:rPr>
        <w:rFonts w:ascii="Times New Roman" w:hAnsi="Times New Roman" w:cs="Times New Roman"/>
        <w:color w:val="0000FF"/>
        <w:sz w:val="24"/>
        <w:szCs w:val="24"/>
      </w:rPr>
      <w:t>.</w:t>
    </w:r>
    <w:r w:rsidRPr="00F82561">
      <w:rPr>
        <w:rFonts w:ascii="Times New Roman" w:hAnsi="Times New Roman" w:cs="Times New Roman"/>
        <w:color w:val="0000FF"/>
        <w:spacing w:val="-8"/>
        <w:sz w:val="24"/>
        <w:szCs w:val="24"/>
      </w:rPr>
      <w:t>i</w:t>
    </w:r>
    <w:r w:rsidRPr="00F82561">
      <w:rPr>
        <w:rFonts w:ascii="Times New Roman" w:hAnsi="Times New Roman" w:cs="Times New Roman"/>
        <w:color w:val="0000FF"/>
        <w:sz w:val="24"/>
        <w:szCs w:val="24"/>
      </w:rPr>
      <w:t>p</w:t>
    </w:r>
    <w:r w:rsidRPr="00F82561">
      <w:rPr>
        <w:rFonts w:ascii="Times New Roman" w:hAnsi="Times New Roman" w:cs="Times New Roman"/>
        <w:color w:val="0000FF"/>
        <w:spacing w:val="5"/>
        <w:w w:val="99"/>
        <w:sz w:val="24"/>
        <w:szCs w:val="24"/>
      </w:rPr>
      <w:t>r</w:t>
    </w:r>
    <w:r w:rsidRPr="00F82561">
      <w:rPr>
        <w:rFonts w:ascii="Times New Roman" w:hAnsi="Times New Roman" w:cs="Times New Roman"/>
        <w:color w:val="0000FF"/>
        <w:spacing w:val="-3"/>
        <w:sz w:val="24"/>
        <w:szCs w:val="24"/>
      </w:rPr>
      <w:t>j</w:t>
    </w:r>
    <w:r w:rsidRPr="00F82561">
      <w:rPr>
        <w:rFonts w:ascii="Times New Roman" w:hAnsi="Times New Roman" w:cs="Times New Roman"/>
        <w:color w:val="0000FF"/>
        <w:spacing w:val="-5"/>
        <w:sz w:val="24"/>
        <w:szCs w:val="24"/>
      </w:rPr>
      <w:t>b</w:t>
    </w:r>
    <w:r w:rsidRPr="00F82561">
      <w:rPr>
        <w:rFonts w:ascii="Times New Roman" w:hAnsi="Times New Roman" w:cs="Times New Roman"/>
        <w:color w:val="0000FF"/>
        <w:spacing w:val="1"/>
        <w:sz w:val="24"/>
        <w:szCs w:val="24"/>
      </w:rPr>
      <w:t>.</w:t>
    </w:r>
    <w:r w:rsidRPr="00F82561">
      <w:rPr>
        <w:color w:val="0000FF"/>
        <w:spacing w:val="5"/>
      </w:rPr>
      <w:t>o</w:t>
    </w:r>
    <w:r w:rsidRPr="00F82561">
      <w:rPr>
        <w:color w:val="0000FF"/>
        <w:spacing w:val="1"/>
        <w:w w:val="99"/>
      </w:rPr>
      <w:t>r</w:t>
    </w:r>
    <w:r w:rsidRPr="00F82561">
      <w:rPr>
        <w:color w:val="0000FF"/>
      </w:rPr>
      <w:t>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6D"/>
    <w:rsid w:val="00026E6D"/>
    <w:rsid w:val="000D2384"/>
    <w:rsid w:val="001D33D4"/>
    <w:rsid w:val="002A3478"/>
    <w:rsid w:val="00373832"/>
    <w:rsid w:val="0039598C"/>
    <w:rsid w:val="00412E39"/>
    <w:rsid w:val="00423765"/>
    <w:rsid w:val="0043297F"/>
    <w:rsid w:val="00657747"/>
    <w:rsid w:val="006B32A5"/>
    <w:rsid w:val="00755082"/>
    <w:rsid w:val="008046D1"/>
    <w:rsid w:val="00843F8D"/>
    <w:rsid w:val="0090706E"/>
    <w:rsid w:val="00B654B6"/>
    <w:rsid w:val="00B90968"/>
    <w:rsid w:val="00D32F61"/>
    <w:rsid w:val="00F82561"/>
    <w:rsid w:val="00F8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F8D32"/>
  <w15:chartTrackingRefBased/>
  <w15:docId w15:val="{19DFE2C8-78B3-4730-AE75-7931F41F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561"/>
  </w:style>
  <w:style w:type="paragraph" w:styleId="Footer">
    <w:name w:val="footer"/>
    <w:basedOn w:val="Normal"/>
    <w:link w:val="FooterChar"/>
    <w:uiPriority w:val="99"/>
    <w:unhideWhenUsed/>
    <w:rsid w:val="00F82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orcid.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iprjb.org/journals/index.php/JPI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5599</Words>
  <Characters>31917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2024-06-01T06:44:00Z</dcterms:created>
  <dcterms:modified xsi:type="dcterms:W3CDTF">2024-06-01T06:44:00Z</dcterms:modified>
</cp:coreProperties>
</file>