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92607" w14:textId="77777777" w:rsidR="00E14FA4" w:rsidRDefault="00E14FA4" w:rsidP="00E14FA4">
      <w:pPr>
        <w:spacing w:before="100" w:after="100" w:line="240" w:lineRule="auto"/>
        <w:jc w:val="center"/>
        <w:rPr>
          <w:rFonts w:ascii="Times New Roman" w:hAnsi="Times New Roman" w:cs="Times New Roman"/>
          <w:b/>
          <w:sz w:val="20"/>
          <w:szCs w:val="20"/>
        </w:rPr>
      </w:pPr>
    </w:p>
    <w:p w14:paraId="2E44AEA7" w14:textId="77777777" w:rsidR="00E14FA4" w:rsidRDefault="00E14FA4" w:rsidP="00E14FA4">
      <w:pPr>
        <w:spacing w:before="100" w:after="100" w:line="240" w:lineRule="auto"/>
        <w:jc w:val="center"/>
        <w:rPr>
          <w:rFonts w:ascii="Times New Roman" w:hAnsi="Times New Roman" w:cs="Times New Roman"/>
          <w:b/>
          <w:sz w:val="20"/>
          <w:szCs w:val="20"/>
        </w:rPr>
      </w:pPr>
    </w:p>
    <w:p w14:paraId="1BECFF35" w14:textId="77777777" w:rsidR="00E14FA4" w:rsidRDefault="00E14FA4" w:rsidP="00E14FA4">
      <w:pPr>
        <w:spacing w:before="100" w:after="100" w:line="240" w:lineRule="auto"/>
        <w:jc w:val="center"/>
        <w:rPr>
          <w:rFonts w:ascii="Times New Roman" w:hAnsi="Times New Roman" w:cs="Times New Roman"/>
          <w:b/>
          <w:sz w:val="20"/>
          <w:szCs w:val="20"/>
        </w:rPr>
      </w:pPr>
    </w:p>
    <w:p w14:paraId="6E07531E" w14:textId="77777777" w:rsidR="00E14FA4" w:rsidRDefault="00E14FA4" w:rsidP="00E14FA4">
      <w:pPr>
        <w:spacing w:before="100" w:after="100" w:line="240" w:lineRule="auto"/>
        <w:jc w:val="center"/>
        <w:rPr>
          <w:rFonts w:ascii="Times New Roman" w:hAnsi="Times New Roman" w:cs="Times New Roman"/>
          <w:b/>
          <w:sz w:val="20"/>
          <w:szCs w:val="20"/>
        </w:rPr>
      </w:pPr>
    </w:p>
    <w:p w14:paraId="2A0C8EF3" w14:textId="77777777" w:rsidR="00E14FA4" w:rsidRDefault="00E14FA4" w:rsidP="00E14FA4">
      <w:pPr>
        <w:spacing w:before="100" w:after="100" w:line="240" w:lineRule="auto"/>
        <w:jc w:val="center"/>
        <w:rPr>
          <w:rFonts w:ascii="Times New Roman" w:hAnsi="Times New Roman" w:cs="Times New Roman"/>
          <w:b/>
          <w:sz w:val="20"/>
          <w:szCs w:val="20"/>
        </w:rPr>
      </w:pPr>
    </w:p>
    <w:p w14:paraId="3ED4CD3B" w14:textId="77777777" w:rsidR="00E14FA4" w:rsidRDefault="00E14FA4" w:rsidP="00E14FA4">
      <w:pPr>
        <w:spacing w:before="100" w:after="100" w:line="240" w:lineRule="auto"/>
        <w:jc w:val="center"/>
        <w:rPr>
          <w:rFonts w:ascii="Times New Roman" w:hAnsi="Times New Roman" w:cs="Times New Roman"/>
          <w:b/>
          <w:sz w:val="20"/>
          <w:szCs w:val="20"/>
        </w:rPr>
      </w:pPr>
    </w:p>
    <w:p w14:paraId="04D218D1" w14:textId="77777777" w:rsidR="00E14FA4" w:rsidRDefault="00E14FA4" w:rsidP="00E14FA4">
      <w:pPr>
        <w:spacing w:before="100" w:after="100" w:line="240" w:lineRule="auto"/>
        <w:jc w:val="center"/>
        <w:rPr>
          <w:rFonts w:ascii="Times New Roman" w:hAnsi="Times New Roman" w:cs="Times New Roman"/>
          <w:b/>
          <w:sz w:val="20"/>
          <w:szCs w:val="20"/>
        </w:rPr>
      </w:pPr>
    </w:p>
    <w:p w14:paraId="0B0ECF3D" w14:textId="77777777" w:rsidR="00E14FA4" w:rsidRDefault="00E14FA4" w:rsidP="00E14FA4">
      <w:pPr>
        <w:spacing w:before="100" w:after="100" w:line="240" w:lineRule="auto"/>
        <w:jc w:val="center"/>
        <w:rPr>
          <w:rFonts w:ascii="Times New Roman" w:hAnsi="Times New Roman" w:cs="Times New Roman"/>
          <w:b/>
          <w:sz w:val="20"/>
          <w:szCs w:val="20"/>
        </w:rPr>
      </w:pPr>
    </w:p>
    <w:p w14:paraId="52310B4F" w14:textId="77777777" w:rsidR="00E14FA4" w:rsidRPr="00E14FA4" w:rsidRDefault="00E14FA4" w:rsidP="00E14FA4">
      <w:pPr>
        <w:spacing w:before="100" w:after="100" w:line="240" w:lineRule="auto"/>
        <w:jc w:val="center"/>
        <w:rPr>
          <w:sz w:val="32"/>
          <w:szCs w:val="32"/>
        </w:rPr>
      </w:pPr>
      <w:r w:rsidRPr="00E14FA4">
        <w:rPr>
          <w:rFonts w:ascii="Times New Roman" w:hAnsi="Times New Roman" w:cs="Times New Roman"/>
          <w:b/>
          <w:sz w:val="32"/>
          <w:szCs w:val="32"/>
        </w:rPr>
        <w:t>Impact of Financial Regulations on Insurance Company Profitability in Morocco</w:t>
      </w:r>
      <w:r w:rsidRPr="00E14FA4">
        <w:rPr>
          <w:sz w:val="32"/>
          <w:szCs w:val="32"/>
        </w:rPr>
        <w:t xml:space="preserve"> </w:t>
      </w:r>
    </w:p>
    <w:p w14:paraId="3E8BBFB9" w14:textId="77777777" w:rsidR="00E14FA4" w:rsidRPr="00E14FA4" w:rsidRDefault="00E14FA4" w:rsidP="00E14FA4">
      <w:pPr>
        <w:spacing w:before="100" w:after="100" w:line="240" w:lineRule="auto"/>
        <w:jc w:val="center"/>
        <w:rPr>
          <w:sz w:val="32"/>
          <w:szCs w:val="32"/>
        </w:rPr>
      </w:pPr>
    </w:p>
    <w:p w14:paraId="1246F6E0" w14:textId="77777777" w:rsidR="00E14FA4" w:rsidRPr="00E14FA4" w:rsidRDefault="00E14FA4" w:rsidP="00E14FA4">
      <w:pPr>
        <w:spacing w:before="100" w:after="100" w:line="240" w:lineRule="auto"/>
        <w:jc w:val="center"/>
        <w:rPr>
          <w:sz w:val="32"/>
          <w:szCs w:val="32"/>
        </w:rPr>
      </w:pPr>
    </w:p>
    <w:p w14:paraId="47799A9C" w14:textId="77777777" w:rsidR="00E14FA4" w:rsidRPr="00E14FA4" w:rsidRDefault="00E14FA4" w:rsidP="00E14FA4">
      <w:pPr>
        <w:spacing w:before="100" w:after="100" w:line="240" w:lineRule="auto"/>
        <w:jc w:val="center"/>
        <w:rPr>
          <w:rFonts w:ascii="Times New Roman" w:hAnsi="Times New Roman" w:cs="Times New Roman"/>
          <w:sz w:val="32"/>
          <w:szCs w:val="32"/>
        </w:rPr>
      </w:pPr>
      <w:r w:rsidRPr="00E14FA4">
        <w:rPr>
          <w:rFonts w:ascii="Times New Roman" w:hAnsi="Times New Roman" w:cs="Times New Roman"/>
          <w:sz w:val="32"/>
          <w:szCs w:val="32"/>
        </w:rPr>
        <w:t>Rachid Ben</w:t>
      </w:r>
    </w:p>
    <w:p w14:paraId="1F2D2518" w14:textId="77777777" w:rsidR="00BC077B" w:rsidRDefault="00E14FA4" w:rsidP="00BC077B">
      <w:pPr>
        <w:spacing w:before="100" w:after="100" w:line="240" w:lineRule="auto"/>
        <w:jc w:val="both"/>
        <w:rPr>
          <w:rFonts w:ascii="Times New Roman" w:hAnsi="Times New Roman" w:cs="Times New Roman"/>
          <w:sz w:val="24"/>
          <w:szCs w:val="24"/>
        </w:rPr>
      </w:pPr>
      <w:r>
        <w:rPr>
          <w:b/>
          <w:noProof/>
          <w:sz w:val="28"/>
          <w:szCs w:val="28"/>
        </w:rPr>
        <w:drawing>
          <wp:anchor distT="0" distB="0" distL="114300" distR="114300" simplePos="0" relativeHeight="251659264" behindDoc="1" locked="0" layoutInCell="1" allowOverlap="1" wp14:anchorId="53F2AEAD" wp14:editId="2023F8A5">
            <wp:simplePos x="0" y="0"/>
            <wp:positionH relativeFrom="page">
              <wp:align>left</wp:align>
            </wp:positionH>
            <wp:positionV relativeFrom="page">
              <wp:align>bottom</wp:align>
            </wp:positionV>
            <wp:extent cx="7800975" cy="10096500"/>
            <wp:effectExtent l="0" t="0" r="9525" b="0"/>
            <wp:wrapNone/>
            <wp:docPr id="2" name="Picture 2" descr="C:\Users\Liz\AppData\Local\Temp\J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Users\Liz\AppData\Local\Temp\JSA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00975" cy="10096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F4DC11" w14:textId="77777777" w:rsidR="00BC077B" w:rsidRDefault="00BC077B" w:rsidP="00BC077B">
      <w:pPr>
        <w:spacing w:before="100" w:after="100" w:line="240" w:lineRule="auto"/>
        <w:jc w:val="both"/>
        <w:rPr>
          <w:rFonts w:ascii="Times New Roman" w:hAnsi="Times New Roman" w:cs="Times New Roman"/>
          <w:sz w:val="24"/>
          <w:szCs w:val="24"/>
        </w:rPr>
      </w:pPr>
    </w:p>
    <w:p w14:paraId="49AB438E" w14:textId="77777777" w:rsidR="00BC077B" w:rsidRDefault="00BC077B" w:rsidP="00BC077B">
      <w:pPr>
        <w:spacing w:before="100" w:after="100" w:line="240" w:lineRule="auto"/>
        <w:jc w:val="both"/>
        <w:rPr>
          <w:rFonts w:ascii="Times New Roman" w:hAnsi="Times New Roman" w:cs="Times New Roman"/>
          <w:sz w:val="24"/>
          <w:szCs w:val="24"/>
        </w:rPr>
      </w:pPr>
    </w:p>
    <w:p w14:paraId="4A4B6E16" w14:textId="77777777" w:rsidR="00BC077B" w:rsidRDefault="00BC077B" w:rsidP="00BC077B">
      <w:pPr>
        <w:spacing w:before="100" w:after="100" w:line="240" w:lineRule="auto"/>
        <w:jc w:val="both"/>
        <w:rPr>
          <w:rFonts w:ascii="Times New Roman" w:hAnsi="Times New Roman" w:cs="Times New Roman"/>
          <w:sz w:val="24"/>
          <w:szCs w:val="24"/>
        </w:rPr>
      </w:pPr>
    </w:p>
    <w:p w14:paraId="4ACB111E" w14:textId="77777777" w:rsidR="00BC077B" w:rsidRDefault="00BC077B" w:rsidP="00BC077B">
      <w:pPr>
        <w:spacing w:before="100" w:after="100" w:line="240" w:lineRule="auto"/>
        <w:jc w:val="both"/>
        <w:rPr>
          <w:rFonts w:ascii="Times New Roman" w:hAnsi="Times New Roman" w:cs="Times New Roman"/>
          <w:sz w:val="24"/>
          <w:szCs w:val="24"/>
        </w:rPr>
      </w:pPr>
    </w:p>
    <w:p w14:paraId="6B5C7E8B" w14:textId="77777777" w:rsidR="00BC077B" w:rsidRDefault="00BC077B" w:rsidP="00BC077B">
      <w:pPr>
        <w:spacing w:before="100" w:after="100" w:line="240" w:lineRule="auto"/>
        <w:jc w:val="both"/>
        <w:rPr>
          <w:rFonts w:ascii="Times New Roman" w:hAnsi="Times New Roman" w:cs="Times New Roman"/>
          <w:sz w:val="24"/>
          <w:szCs w:val="24"/>
        </w:rPr>
      </w:pPr>
    </w:p>
    <w:p w14:paraId="566F81BF" w14:textId="77777777" w:rsidR="00BC077B" w:rsidRDefault="00BC077B" w:rsidP="00BC077B">
      <w:pPr>
        <w:spacing w:before="100" w:after="100" w:line="240" w:lineRule="auto"/>
        <w:jc w:val="both"/>
        <w:rPr>
          <w:rFonts w:ascii="Times New Roman" w:hAnsi="Times New Roman" w:cs="Times New Roman"/>
          <w:sz w:val="24"/>
          <w:szCs w:val="24"/>
        </w:rPr>
      </w:pPr>
    </w:p>
    <w:p w14:paraId="0ED161EB" w14:textId="77777777" w:rsidR="00BC077B" w:rsidRDefault="00BC077B" w:rsidP="00BC077B">
      <w:pPr>
        <w:spacing w:before="100" w:after="100" w:line="240" w:lineRule="auto"/>
        <w:jc w:val="both"/>
        <w:rPr>
          <w:rFonts w:ascii="Times New Roman" w:hAnsi="Times New Roman" w:cs="Times New Roman"/>
          <w:sz w:val="24"/>
          <w:szCs w:val="24"/>
        </w:rPr>
      </w:pPr>
    </w:p>
    <w:p w14:paraId="11A62C92" w14:textId="77777777" w:rsidR="00BC077B" w:rsidRDefault="00BC077B" w:rsidP="00BC077B">
      <w:pPr>
        <w:spacing w:before="100" w:after="100" w:line="240" w:lineRule="auto"/>
        <w:jc w:val="both"/>
        <w:rPr>
          <w:rFonts w:ascii="Times New Roman" w:hAnsi="Times New Roman" w:cs="Times New Roman"/>
          <w:sz w:val="24"/>
          <w:szCs w:val="24"/>
        </w:rPr>
      </w:pPr>
    </w:p>
    <w:p w14:paraId="2F08995C" w14:textId="77777777" w:rsidR="00BC077B" w:rsidRDefault="00BC077B" w:rsidP="00BC077B">
      <w:pPr>
        <w:spacing w:before="100" w:after="100" w:line="240" w:lineRule="auto"/>
        <w:jc w:val="both"/>
        <w:rPr>
          <w:rFonts w:ascii="Times New Roman" w:hAnsi="Times New Roman" w:cs="Times New Roman"/>
          <w:sz w:val="24"/>
          <w:szCs w:val="24"/>
        </w:rPr>
      </w:pPr>
    </w:p>
    <w:p w14:paraId="77F01A5D" w14:textId="77777777" w:rsidR="00BC077B" w:rsidRDefault="00BC077B" w:rsidP="00BC077B">
      <w:pPr>
        <w:spacing w:before="100" w:after="100" w:line="240" w:lineRule="auto"/>
        <w:jc w:val="both"/>
        <w:rPr>
          <w:rFonts w:ascii="Times New Roman" w:hAnsi="Times New Roman" w:cs="Times New Roman"/>
          <w:sz w:val="24"/>
          <w:szCs w:val="24"/>
        </w:rPr>
      </w:pPr>
    </w:p>
    <w:p w14:paraId="5130479D" w14:textId="77777777" w:rsidR="00BC077B" w:rsidRDefault="00BC077B" w:rsidP="00BC077B">
      <w:pPr>
        <w:spacing w:before="100" w:after="100" w:line="240" w:lineRule="auto"/>
        <w:jc w:val="both"/>
        <w:rPr>
          <w:rFonts w:ascii="Times New Roman" w:hAnsi="Times New Roman" w:cs="Times New Roman"/>
          <w:sz w:val="24"/>
          <w:szCs w:val="24"/>
        </w:rPr>
      </w:pPr>
    </w:p>
    <w:p w14:paraId="4438262E" w14:textId="77777777" w:rsidR="00BC077B" w:rsidRDefault="00BC077B" w:rsidP="00BC077B">
      <w:pPr>
        <w:spacing w:before="100" w:after="100" w:line="240" w:lineRule="auto"/>
        <w:jc w:val="both"/>
        <w:rPr>
          <w:rFonts w:ascii="Times New Roman" w:hAnsi="Times New Roman" w:cs="Times New Roman"/>
          <w:sz w:val="24"/>
          <w:szCs w:val="24"/>
        </w:rPr>
      </w:pPr>
    </w:p>
    <w:p w14:paraId="391D8BE0" w14:textId="77777777" w:rsidR="00BC077B" w:rsidRDefault="00BC077B" w:rsidP="00BC077B">
      <w:pPr>
        <w:spacing w:before="100" w:after="100" w:line="240" w:lineRule="auto"/>
        <w:jc w:val="both"/>
        <w:rPr>
          <w:rFonts w:ascii="Times New Roman" w:hAnsi="Times New Roman" w:cs="Times New Roman"/>
          <w:sz w:val="24"/>
          <w:szCs w:val="24"/>
        </w:rPr>
      </w:pPr>
    </w:p>
    <w:p w14:paraId="3D8BF00F" w14:textId="77777777" w:rsidR="00BC077B" w:rsidRDefault="00BC077B" w:rsidP="00BC077B">
      <w:pPr>
        <w:spacing w:before="100" w:after="100" w:line="240" w:lineRule="auto"/>
        <w:jc w:val="both"/>
        <w:rPr>
          <w:rFonts w:ascii="Times New Roman" w:hAnsi="Times New Roman" w:cs="Times New Roman"/>
          <w:sz w:val="24"/>
          <w:szCs w:val="24"/>
        </w:rPr>
      </w:pPr>
    </w:p>
    <w:p w14:paraId="3C854791" w14:textId="77777777" w:rsidR="00BC077B" w:rsidRDefault="00BC077B" w:rsidP="00BC077B">
      <w:pPr>
        <w:spacing w:before="100" w:after="100" w:line="240" w:lineRule="auto"/>
        <w:jc w:val="both"/>
        <w:rPr>
          <w:rFonts w:ascii="Times New Roman" w:hAnsi="Times New Roman" w:cs="Times New Roman"/>
          <w:sz w:val="24"/>
          <w:szCs w:val="24"/>
        </w:rPr>
      </w:pPr>
    </w:p>
    <w:p w14:paraId="60175087" w14:textId="77777777" w:rsidR="00BC077B" w:rsidRDefault="00BC077B" w:rsidP="00BC077B">
      <w:pPr>
        <w:spacing w:before="100" w:after="100" w:line="240" w:lineRule="auto"/>
        <w:jc w:val="both"/>
        <w:rPr>
          <w:rFonts w:ascii="Times New Roman" w:hAnsi="Times New Roman" w:cs="Times New Roman"/>
          <w:sz w:val="24"/>
          <w:szCs w:val="24"/>
        </w:rPr>
      </w:pPr>
    </w:p>
    <w:p w14:paraId="7979367D" w14:textId="77777777" w:rsidR="00BC077B" w:rsidRDefault="00BC077B" w:rsidP="00BC077B">
      <w:pPr>
        <w:spacing w:before="100" w:after="100" w:line="240" w:lineRule="auto"/>
        <w:jc w:val="both"/>
        <w:rPr>
          <w:rFonts w:ascii="Times New Roman" w:hAnsi="Times New Roman" w:cs="Times New Roman"/>
          <w:sz w:val="24"/>
          <w:szCs w:val="24"/>
        </w:rPr>
      </w:pPr>
    </w:p>
    <w:p w14:paraId="3A2C4562" w14:textId="77777777" w:rsidR="00BC077B" w:rsidRDefault="00BC077B" w:rsidP="00BC077B">
      <w:pPr>
        <w:spacing w:before="100" w:after="100" w:line="240" w:lineRule="auto"/>
        <w:jc w:val="both"/>
        <w:rPr>
          <w:rFonts w:ascii="Times New Roman" w:hAnsi="Times New Roman" w:cs="Times New Roman"/>
          <w:sz w:val="24"/>
          <w:szCs w:val="24"/>
        </w:rPr>
      </w:pPr>
    </w:p>
    <w:p w14:paraId="4F6E90B3" w14:textId="77777777" w:rsidR="00A95E27" w:rsidRDefault="00A95E27" w:rsidP="00BC077B">
      <w:pPr>
        <w:spacing w:before="100" w:after="100" w:line="240" w:lineRule="auto"/>
        <w:jc w:val="both"/>
        <w:rPr>
          <w:rFonts w:ascii="Times New Roman" w:hAnsi="Times New Roman" w:cs="Times New Roman"/>
          <w:sz w:val="24"/>
          <w:szCs w:val="24"/>
        </w:rPr>
        <w:sectPr w:rsidR="00A95E27" w:rsidSect="00A95E2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21"/>
          <w:cols w:space="720"/>
          <w:docGrid w:linePitch="360"/>
        </w:sectPr>
      </w:pPr>
    </w:p>
    <w:p w14:paraId="5FB20389" w14:textId="77777777" w:rsidR="007F0DCB" w:rsidRDefault="00E14FA4" w:rsidP="00A95E27">
      <w:pPr>
        <w:spacing w:before="100" w:after="100" w:line="240" w:lineRule="auto"/>
        <w:jc w:val="center"/>
        <w:rPr>
          <w:rFonts w:ascii="Times New Roman" w:hAnsi="Times New Roman" w:cs="Times New Roman"/>
          <w:b/>
          <w:sz w:val="20"/>
          <w:szCs w:val="20"/>
        </w:rPr>
      </w:pPr>
      <w:r w:rsidRPr="00E14FA4">
        <w:rPr>
          <w:rFonts w:ascii="Times New Roman" w:hAnsi="Times New Roman" w:cs="Times New Roman"/>
          <w:b/>
          <w:sz w:val="20"/>
          <w:szCs w:val="20"/>
        </w:rPr>
        <w:lastRenderedPageBreak/>
        <w:t xml:space="preserve">Impact of Financial Regulations on Insurance Company Profitability </w:t>
      </w:r>
      <w:r w:rsidR="006A26A8" w:rsidRPr="00E14FA4">
        <w:rPr>
          <w:rFonts w:ascii="Times New Roman" w:hAnsi="Times New Roman" w:cs="Times New Roman"/>
          <w:b/>
          <w:sz w:val="20"/>
          <w:szCs w:val="20"/>
        </w:rPr>
        <w:t>in Morocco</w:t>
      </w:r>
    </w:p>
    <w:p w14:paraId="4B3E76CF" w14:textId="77777777" w:rsidR="00A95E27" w:rsidRPr="00E14FA4" w:rsidRDefault="00A95E27" w:rsidP="00A95E27">
      <w:pPr>
        <w:spacing w:before="100" w:after="100" w:line="240" w:lineRule="auto"/>
        <w:jc w:val="center"/>
        <w:rPr>
          <w:rFonts w:ascii="Times New Roman" w:hAnsi="Times New Roman" w:cs="Times New Roman"/>
          <w:b/>
          <w:sz w:val="20"/>
          <w:szCs w:val="20"/>
        </w:rPr>
      </w:pPr>
    </w:p>
    <w:p w14:paraId="3660CD73" w14:textId="77777777" w:rsidR="003C766B" w:rsidRPr="00A95E27" w:rsidRDefault="003C766B" w:rsidP="00A95E27">
      <w:pPr>
        <w:spacing w:before="120" w:after="120"/>
        <w:jc w:val="center"/>
        <w:rPr>
          <w:rFonts w:ascii="Times New Roman" w:hAnsi="Times New Roman" w:cs="Times New Roman"/>
          <w:sz w:val="20"/>
          <w:szCs w:val="20"/>
        </w:rPr>
      </w:pPr>
      <w:r w:rsidRPr="00A95E27">
        <w:rPr>
          <w:rFonts w:ascii="Times New Roman" w:hAnsi="Times New Roman" w:cs="Times New Roman"/>
          <w:noProof/>
          <w:sz w:val="20"/>
          <w:szCs w:val="20"/>
        </w:rPr>
        <w:drawing>
          <wp:inline distT="0" distB="0" distL="0" distR="0" wp14:anchorId="1F068498" wp14:editId="58198CF7">
            <wp:extent cx="219075" cy="219075"/>
            <wp:effectExtent l="0" t="0" r="9525" b="9525"/>
            <wp:docPr id="1"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E14FA4" w:rsidRPr="00A95E27">
        <w:rPr>
          <w:rFonts w:ascii="Times New Roman" w:hAnsi="Times New Roman" w:cs="Times New Roman"/>
          <w:sz w:val="20"/>
          <w:szCs w:val="20"/>
        </w:rPr>
        <w:t>Rachid Ben</w:t>
      </w:r>
    </w:p>
    <w:p w14:paraId="060BF1C9" w14:textId="13527416" w:rsidR="00E14FA4" w:rsidRDefault="00A95D22" w:rsidP="00A95D22">
      <w:pPr>
        <w:spacing w:before="100" w:after="0" w:line="240" w:lineRule="auto"/>
        <w:jc w:val="center"/>
        <w:rPr>
          <w:rFonts w:ascii="Times New Roman" w:hAnsi="Times New Roman" w:cs="Times New Roman"/>
          <w:sz w:val="20"/>
          <w:szCs w:val="20"/>
        </w:rPr>
      </w:pPr>
      <w:r w:rsidRPr="00A95D22">
        <w:rPr>
          <w:rFonts w:ascii="Times New Roman" w:hAnsi="Times New Roman" w:cs="Times New Roman"/>
          <w:sz w:val="20"/>
          <w:szCs w:val="20"/>
        </w:rPr>
        <w:t>Cadi Ayyad University</w:t>
      </w:r>
    </w:p>
    <w:p w14:paraId="5D3C25DD" w14:textId="77777777" w:rsidR="00A95D22" w:rsidRPr="00A95D22" w:rsidRDefault="00A95D22" w:rsidP="00A95D22">
      <w:pPr>
        <w:spacing w:before="100" w:after="0" w:line="240" w:lineRule="auto"/>
        <w:jc w:val="center"/>
        <w:rPr>
          <w:rFonts w:ascii="Times New Roman" w:hAnsi="Times New Roman" w:cs="Times New Roman"/>
          <w:sz w:val="20"/>
          <w:szCs w:val="20"/>
        </w:rPr>
      </w:pPr>
    </w:p>
    <w:p w14:paraId="13475934" w14:textId="77777777" w:rsidR="003C766B" w:rsidRPr="003C766B" w:rsidRDefault="003C766B" w:rsidP="003C766B">
      <w:pPr>
        <w:pBdr>
          <w:bottom w:val="single" w:sz="4" w:space="1" w:color="auto"/>
        </w:pBdr>
        <w:spacing w:before="100" w:after="100" w:line="240" w:lineRule="auto"/>
        <w:jc w:val="center"/>
        <w:rPr>
          <w:rFonts w:ascii="Times New Roman" w:eastAsia="Calibri" w:hAnsi="Times New Roman" w:cs="Times New Roman"/>
          <w:b/>
          <w:sz w:val="20"/>
          <w:szCs w:val="20"/>
        </w:rPr>
      </w:pPr>
      <w:r w:rsidRPr="003C766B">
        <w:rPr>
          <w:rFonts w:ascii="Times New Roman" w:eastAsia="Calibri" w:hAnsi="Times New Roman" w:cs="Times New Roman"/>
          <w:b/>
          <w:sz w:val="20"/>
          <w:szCs w:val="20"/>
        </w:rPr>
        <w:t>Article History</w:t>
      </w:r>
    </w:p>
    <w:p w14:paraId="3335E7AC" w14:textId="77777777" w:rsidR="003C766B" w:rsidRPr="003C766B" w:rsidRDefault="003C766B" w:rsidP="003C766B">
      <w:pPr>
        <w:spacing w:before="100" w:after="100" w:line="240" w:lineRule="auto"/>
        <w:jc w:val="center"/>
        <w:rPr>
          <w:rFonts w:ascii="Times New Roman" w:eastAsia="Calibri" w:hAnsi="Times New Roman" w:cs="Times New Roman"/>
          <w:b/>
          <w:i/>
          <w:sz w:val="20"/>
          <w:szCs w:val="20"/>
        </w:rPr>
      </w:pPr>
      <w:r w:rsidRPr="003C766B">
        <w:rPr>
          <w:rFonts w:ascii="Times New Roman" w:eastAsia="Calibri" w:hAnsi="Times New Roman" w:cs="Times New Roman"/>
          <w:b/>
          <w:i/>
          <w:sz w:val="20"/>
          <w:szCs w:val="20"/>
        </w:rPr>
        <w:t>Received 24</w:t>
      </w:r>
      <w:r w:rsidRPr="003C766B">
        <w:rPr>
          <w:rFonts w:ascii="Times New Roman" w:eastAsia="Calibri" w:hAnsi="Times New Roman" w:cs="Times New Roman"/>
          <w:b/>
          <w:i/>
          <w:sz w:val="20"/>
          <w:szCs w:val="20"/>
          <w:vertAlign w:val="superscript"/>
        </w:rPr>
        <w:t>th</w:t>
      </w:r>
      <w:r w:rsidRPr="003C766B">
        <w:rPr>
          <w:rFonts w:ascii="Times New Roman" w:eastAsia="Calibri" w:hAnsi="Times New Roman" w:cs="Times New Roman"/>
          <w:b/>
          <w:i/>
          <w:sz w:val="20"/>
          <w:szCs w:val="20"/>
        </w:rPr>
        <w:t xml:space="preserve"> February 2024</w:t>
      </w:r>
    </w:p>
    <w:p w14:paraId="36058BC6" w14:textId="77777777" w:rsidR="003C766B" w:rsidRPr="003C766B" w:rsidRDefault="003C766B" w:rsidP="003C766B">
      <w:pPr>
        <w:spacing w:before="100" w:after="100" w:line="240" w:lineRule="auto"/>
        <w:jc w:val="center"/>
        <w:rPr>
          <w:rFonts w:ascii="Times New Roman" w:eastAsia="Calibri" w:hAnsi="Times New Roman" w:cs="Times New Roman"/>
          <w:b/>
          <w:i/>
          <w:sz w:val="20"/>
          <w:szCs w:val="20"/>
        </w:rPr>
      </w:pPr>
      <w:r w:rsidRPr="003C766B">
        <w:rPr>
          <w:rFonts w:ascii="Times New Roman" w:eastAsia="Calibri" w:hAnsi="Times New Roman" w:cs="Times New Roman"/>
          <w:b/>
          <w:i/>
          <w:sz w:val="20"/>
          <w:szCs w:val="20"/>
        </w:rPr>
        <w:t>Received in Revised Form 1</w:t>
      </w:r>
      <w:r w:rsidRPr="003C766B">
        <w:rPr>
          <w:rFonts w:ascii="Times New Roman" w:eastAsia="Calibri" w:hAnsi="Times New Roman" w:cs="Times New Roman"/>
          <w:b/>
          <w:i/>
          <w:sz w:val="20"/>
          <w:szCs w:val="20"/>
          <w:vertAlign w:val="superscript"/>
        </w:rPr>
        <w:t>st</w:t>
      </w:r>
      <w:r w:rsidRPr="003C766B">
        <w:rPr>
          <w:rFonts w:ascii="Times New Roman" w:eastAsia="Calibri" w:hAnsi="Times New Roman" w:cs="Times New Roman"/>
          <w:b/>
          <w:i/>
          <w:sz w:val="20"/>
          <w:szCs w:val="20"/>
        </w:rPr>
        <w:t xml:space="preserve"> April 2024</w:t>
      </w:r>
    </w:p>
    <w:p w14:paraId="0DD0000D" w14:textId="77777777" w:rsidR="003C766B" w:rsidRPr="003C766B" w:rsidRDefault="00A85AD5" w:rsidP="003C766B">
      <w:pPr>
        <w:jc w:val="center"/>
        <w:rPr>
          <w:rFonts w:ascii="Times New Roman" w:hAnsi="Times New Roman" w:cs="Times New Roman"/>
          <w:b/>
          <w:sz w:val="20"/>
          <w:szCs w:val="20"/>
        </w:rPr>
      </w:pPr>
      <w:r>
        <w:rPr>
          <w:rFonts w:ascii="Times New Roman" w:eastAsia="Calibri" w:hAnsi="Times New Roman" w:cs="Times New Roman"/>
          <w:b/>
          <w:i/>
          <w:sz w:val="20"/>
          <w:szCs w:val="20"/>
        </w:rPr>
        <w:t>Accepted 25</w:t>
      </w:r>
      <w:r w:rsidR="003C766B" w:rsidRPr="003C766B">
        <w:rPr>
          <w:rFonts w:ascii="Times New Roman" w:eastAsia="Calibri" w:hAnsi="Times New Roman" w:cs="Times New Roman"/>
          <w:b/>
          <w:i/>
          <w:sz w:val="20"/>
          <w:szCs w:val="20"/>
          <w:vertAlign w:val="superscript"/>
        </w:rPr>
        <w:t xml:space="preserve">th </w:t>
      </w:r>
      <w:r w:rsidR="003C766B" w:rsidRPr="003C766B">
        <w:rPr>
          <w:rFonts w:ascii="Times New Roman" w:eastAsia="Calibri" w:hAnsi="Times New Roman" w:cs="Times New Roman"/>
          <w:b/>
          <w:i/>
          <w:sz w:val="20"/>
          <w:szCs w:val="20"/>
        </w:rPr>
        <w:t>April 2024</w:t>
      </w:r>
    </w:p>
    <w:p w14:paraId="7F9EB362" w14:textId="77777777" w:rsidR="003C766B" w:rsidRPr="003C766B" w:rsidRDefault="003C766B" w:rsidP="006A26A8">
      <w:pPr>
        <w:rPr>
          <w:rFonts w:ascii="Times New Roman" w:hAnsi="Times New Roman" w:cs="Times New Roman"/>
          <w:b/>
          <w:sz w:val="20"/>
          <w:szCs w:val="20"/>
        </w:rPr>
      </w:pPr>
    </w:p>
    <w:p w14:paraId="0654AD71" w14:textId="77777777" w:rsidR="00A95E27" w:rsidRDefault="00A95E27" w:rsidP="003C766B">
      <w:pPr>
        <w:jc w:val="center"/>
        <w:rPr>
          <w:rFonts w:ascii="Times New Roman" w:hAnsi="Times New Roman" w:cs="Times New Roman"/>
          <w:b/>
          <w:sz w:val="20"/>
          <w:szCs w:val="20"/>
        </w:rPr>
      </w:pPr>
    </w:p>
    <w:p w14:paraId="798E7ED2" w14:textId="77777777" w:rsidR="00A95E27" w:rsidRDefault="00A95E27" w:rsidP="003C766B">
      <w:pPr>
        <w:jc w:val="center"/>
        <w:rPr>
          <w:rFonts w:ascii="Times New Roman" w:hAnsi="Times New Roman" w:cs="Times New Roman"/>
          <w:b/>
          <w:sz w:val="20"/>
          <w:szCs w:val="20"/>
        </w:rPr>
      </w:pPr>
    </w:p>
    <w:p w14:paraId="6AA43606" w14:textId="77777777" w:rsidR="00A95E27" w:rsidRDefault="00A95E27" w:rsidP="003C766B">
      <w:pPr>
        <w:jc w:val="center"/>
        <w:rPr>
          <w:rFonts w:ascii="Times New Roman" w:hAnsi="Times New Roman" w:cs="Times New Roman"/>
          <w:b/>
          <w:sz w:val="20"/>
          <w:szCs w:val="20"/>
        </w:rPr>
      </w:pPr>
    </w:p>
    <w:p w14:paraId="38B96836" w14:textId="77777777" w:rsidR="00A95E27" w:rsidRDefault="00A95E27" w:rsidP="003C766B">
      <w:pPr>
        <w:jc w:val="center"/>
        <w:rPr>
          <w:rFonts w:ascii="Times New Roman" w:hAnsi="Times New Roman" w:cs="Times New Roman"/>
          <w:b/>
          <w:sz w:val="20"/>
          <w:szCs w:val="20"/>
        </w:rPr>
      </w:pPr>
    </w:p>
    <w:p w14:paraId="3BDFA5E7" w14:textId="77777777" w:rsidR="00A95E27" w:rsidRDefault="00A95E27" w:rsidP="003C766B">
      <w:pPr>
        <w:jc w:val="center"/>
        <w:rPr>
          <w:rFonts w:ascii="Times New Roman" w:hAnsi="Times New Roman" w:cs="Times New Roman"/>
          <w:b/>
          <w:sz w:val="20"/>
          <w:szCs w:val="20"/>
        </w:rPr>
      </w:pPr>
    </w:p>
    <w:p w14:paraId="0DEC50EF" w14:textId="77777777" w:rsidR="00A95E27" w:rsidRDefault="00A95E27" w:rsidP="003C766B">
      <w:pPr>
        <w:jc w:val="center"/>
        <w:rPr>
          <w:rFonts w:ascii="Times New Roman" w:hAnsi="Times New Roman" w:cs="Times New Roman"/>
          <w:b/>
          <w:sz w:val="20"/>
          <w:szCs w:val="20"/>
        </w:rPr>
      </w:pPr>
    </w:p>
    <w:p w14:paraId="3DE99546" w14:textId="77777777" w:rsidR="00A95E27" w:rsidRDefault="00A95E27" w:rsidP="003C766B">
      <w:pPr>
        <w:jc w:val="center"/>
        <w:rPr>
          <w:rFonts w:ascii="Times New Roman" w:hAnsi="Times New Roman" w:cs="Times New Roman"/>
          <w:b/>
          <w:sz w:val="20"/>
          <w:szCs w:val="20"/>
        </w:rPr>
      </w:pPr>
    </w:p>
    <w:p w14:paraId="45107DF7" w14:textId="77777777" w:rsidR="00A95E27" w:rsidRDefault="00A95E27" w:rsidP="003C766B">
      <w:pPr>
        <w:jc w:val="center"/>
        <w:rPr>
          <w:rFonts w:ascii="Times New Roman" w:hAnsi="Times New Roman" w:cs="Times New Roman"/>
          <w:b/>
          <w:sz w:val="20"/>
          <w:szCs w:val="20"/>
        </w:rPr>
      </w:pPr>
    </w:p>
    <w:p w14:paraId="24BD36E9" w14:textId="77777777" w:rsidR="00A95E27" w:rsidRDefault="00A95E27" w:rsidP="003C766B">
      <w:pPr>
        <w:jc w:val="center"/>
        <w:rPr>
          <w:rFonts w:ascii="Times New Roman" w:hAnsi="Times New Roman" w:cs="Times New Roman"/>
          <w:b/>
          <w:sz w:val="20"/>
          <w:szCs w:val="20"/>
        </w:rPr>
      </w:pPr>
    </w:p>
    <w:p w14:paraId="09F05BBE" w14:textId="77777777" w:rsidR="00A95E27" w:rsidRDefault="00A95E27" w:rsidP="003C766B">
      <w:pPr>
        <w:jc w:val="center"/>
        <w:rPr>
          <w:rFonts w:ascii="Times New Roman" w:hAnsi="Times New Roman" w:cs="Times New Roman"/>
          <w:b/>
          <w:sz w:val="20"/>
          <w:szCs w:val="20"/>
        </w:rPr>
      </w:pPr>
    </w:p>
    <w:p w14:paraId="64FC4C5B" w14:textId="77777777" w:rsidR="00A95E27" w:rsidRDefault="00A95E27" w:rsidP="003C766B">
      <w:pPr>
        <w:jc w:val="center"/>
        <w:rPr>
          <w:rFonts w:ascii="Times New Roman" w:hAnsi="Times New Roman" w:cs="Times New Roman"/>
          <w:b/>
          <w:sz w:val="20"/>
          <w:szCs w:val="20"/>
        </w:rPr>
      </w:pPr>
    </w:p>
    <w:p w14:paraId="3E0A3213" w14:textId="77777777" w:rsidR="00A95E27" w:rsidRDefault="00A95E27" w:rsidP="003C766B">
      <w:pPr>
        <w:jc w:val="center"/>
        <w:rPr>
          <w:rFonts w:ascii="Times New Roman" w:hAnsi="Times New Roman" w:cs="Times New Roman"/>
          <w:b/>
          <w:sz w:val="20"/>
          <w:szCs w:val="20"/>
        </w:rPr>
      </w:pPr>
    </w:p>
    <w:p w14:paraId="282FD5C6" w14:textId="77777777" w:rsidR="00A95E27" w:rsidRDefault="00A95E27" w:rsidP="003C766B">
      <w:pPr>
        <w:jc w:val="center"/>
        <w:rPr>
          <w:rFonts w:ascii="Times New Roman" w:hAnsi="Times New Roman" w:cs="Times New Roman"/>
          <w:b/>
          <w:sz w:val="20"/>
          <w:szCs w:val="20"/>
        </w:rPr>
      </w:pPr>
    </w:p>
    <w:p w14:paraId="4E28E2B9" w14:textId="77777777" w:rsidR="00A95E27" w:rsidRDefault="00A95E27" w:rsidP="003C766B">
      <w:pPr>
        <w:jc w:val="center"/>
        <w:rPr>
          <w:rFonts w:ascii="Times New Roman" w:hAnsi="Times New Roman" w:cs="Times New Roman"/>
          <w:b/>
          <w:sz w:val="20"/>
          <w:szCs w:val="20"/>
        </w:rPr>
      </w:pPr>
    </w:p>
    <w:p w14:paraId="118EAC3A" w14:textId="77777777" w:rsidR="00A95E27" w:rsidRDefault="00A95E27" w:rsidP="003C766B">
      <w:pPr>
        <w:jc w:val="center"/>
        <w:rPr>
          <w:rFonts w:ascii="Times New Roman" w:hAnsi="Times New Roman" w:cs="Times New Roman"/>
          <w:b/>
          <w:sz w:val="20"/>
          <w:szCs w:val="20"/>
        </w:rPr>
      </w:pPr>
    </w:p>
    <w:p w14:paraId="2971D875" w14:textId="77777777" w:rsidR="00A95E27" w:rsidRDefault="00A95E27" w:rsidP="003C766B">
      <w:pPr>
        <w:jc w:val="center"/>
        <w:rPr>
          <w:rFonts w:ascii="Times New Roman" w:hAnsi="Times New Roman" w:cs="Times New Roman"/>
          <w:b/>
          <w:sz w:val="20"/>
          <w:szCs w:val="20"/>
        </w:rPr>
      </w:pPr>
    </w:p>
    <w:p w14:paraId="0F89BA80" w14:textId="77777777" w:rsidR="00A95E27" w:rsidRDefault="00A95E27" w:rsidP="003C766B">
      <w:pPr>
        <w:jc w:val="center"/>
        <w:rPr>
          <w:rFonts w:ascii="Times New Roman" w:hAnsi="Times New Roman" w:cs="Times New Roman"/>
          <w:b/>
          <w:sz w:val="20"/>
          <w:szCs w:val="20"/>
        </w:rPr>
      </w:pPr>
    </w:p>
    <w:p w14:paraId="31C48A9B" w14:textId="77777777" w:rsidR="00A95E27" w:rsidRDefault="00A95E27" w:rsidP="003C766B">
      <w:pPr>
        <w:jc w:val="center"/>
        <w:rPr>
          <w:rFonts w:ascii="Times New Roman" w:hAnsi="Times New Roman" w:cs="Times New Roman"/>
          <w:b/>
          <w:sz w:val="20"/>
          <w:szCs w:val="20"/>
        </w:rPr>
      </w:pPr>
    </w:p>
    <w:p w14:paraId="5C06286F" w14:textId="77777777" w:rsidR="00A95E27" w:rsidRDefault="00A95E27" w:rsidP="003C766B">
      <w:pPr>
        <w:jc w:val="center"/>
        <w:rPr>
          <w:rFonts w:ascii="Times New Roman" w:hAnsi="Times New Roman" w:cs="Times New Roman"/>
          <w:b/>
          <w:sz w:val="20"/>
          <w:szCs w:val="20"/>
        </w:rPr>
      </w:pPr>
    </w:p>
    <w:p w14:paraId="734A1924" w14:textId="77777777" w:rsidR="003C766B" w:rsidRPr="003C766B" w:rsidRDefault="003C766B" w:rsidP="003C766B">
      <w:pPr>
        <w:jc w:val="center"/>
        <w:rPr>
          <w:rFonts w:ascii="Times New Roman" w:hAnsi="Times New Roman" w:cs="Times New Roman"/>
          <w:b/>
          <w:sz w:val="20"/>
          <w:szCs w:val="20"/>
        </w:rPr>
      </w:pPr>
      <w:r w:rsidRPr="003C766B">
        <w:rPr>
          <w:rFonts w:ascii="Times New Roman" w:hAnsi="Times New Roman" w:cs="Times New Roman"/>
          <w:b/>
          <w:sz w:val="20"/>
          <w:szCs w:val="20"/>
        </w:rPr>
        <w:lastRenderedPageBreak/>
        <w:t>Abstract</w:t>
      </w:r>
    </w:p>
    <w:p w14:paraId="7CB36CB7" w14:textId="77777777" w:rsidR="00E14FA4" w:rsidRDefault="003C766B" w:rsidP="003C766B">
      <w:pPr>
        <w:jc w:val="both"/>
        <w:rPr>
          <w:rFonts w:ascii="Times New Roman" w:hAnsi="Times New Roman" w:cs="Times New Roman"/>
          <w:sz w:val="20"/>
          <w:szCs w:val="20"/>
        </w:rPr>
      </w:pPr>
      <w:r w:rsidRPr="003C766B">
        <w:rPr>
          <w:rFonts w:ascii="Times New Roman" w:hAnsi="Times New Roman" w:cs="Times New Roman"/>
          <w:b/>
          <w:sz w:val="20"/>
          <w:szCs w:val="20"/>
        </w:rPr>
        <w:t>Purpose:</w:t>
      </w:r>
      <w:r w:rsidRPr="003C766B">
        <w:rPr>
          <w:rFonts w:ascii="Times New Roman" w:hAnsi="Times New Roman" w:cs="Times New Roman"/>
          <w:sz w:val="20"/>
          <w:szCs w:val="20"/>
        </w:rPr>
        <w:t xml:space="preserve"> The aim of the study was to analyze the </w:t>
      </w:r>
      <w:r w:rsidR="00E14FA4" w:rsidRPr="00E14FA4">
        <w:rPr>
          <w:rFonts w:ascii="Times New Roman" w:hAnsi="Times New Roman" w:cs="Times New Roman"/>
          <w:sz w:val="20"/>
          <w:szCs w:val="20"/>
        </w:rPr>
        <w:t>impact of financial regulations on insurance company profitability in Morocco</w:t>
      </w:r>
      <w:r w:rsidR="00E14FA4">
        <w:rPr>
          <w:rFonts w:ascii="Times New Roman" w:hAnsi="Times New Roman" w:cs="Times New Roman"/>
          <w:sz w:val="20"/>
          <w:szCs w:val="20"/>
        </w:rPr>
        <w:t>.</w:t>
      </w:r>
    </w:p>
    <w:p w14:paraId="0A5EA564" w14:textId="77777777" w:rsidR="003C766B" w:rsidRPr="003C766B" w:rsidRDefault="003C766B" w:rsidP="003C766B">
      <w:pPr>
        <w:jc w:val="both"/>
        <w:rPr>
          <w:rFonts w:ascii="Times New Roman" w:hAnsi="Times New Roman" w:cs="Times New Roman"/>
          <w:sz w:val="20"/>
          <w:szCs w:val="20"/>
        </w:rPr>
      </w:pPr>
      <w:r w:rsidRPr="003C766B">
        <w:rPr>
          <w:rFonts w:ascii="Times New Roman" w:hAnsi="Times New Roman" w:cs="Times New Roman"/>
          <w:b/>
          <w:sz w:val="20"/>
          <w:szCs w:val="20"/>
        </w:rPr>
        <w:t>Methodology:</w:t>
      </w:r>
      <w:r w:rsidRPr="003C766B">
        <w:rPr>
          <w:rFonts w:ascii="Times New Roman" w:hAnsi="Times New Roman" w:cs="Times New Roman"/>
          <w:sz w:val="20"/>
          <w:szCs w:val="20"/>
        </w:rPr>
        <w:t xml:space="preserve"> This study adopted a desk methodology. A desk study research design is commonly known as secondary data collection. This is basically collecting data from existing resources preferably because of its low cost advantage as compared to a field research. Our current study looked into already published studies and reports as the data was easily accessed through online journals and libraries.</w:t>
      </w:r>
    </w:p>
    <w:p w14:paraId="6BFB9902" w14:textId="77777777" w:rsidR="00E14FA4" w:rsidRDefault="003C766B" w:rsidP="00E14FA4">
      <w:pPr>
        <w:jc w:val="both"/>
        <w:rPr>
          <w:rFonts w:ascii="Times New Roman" w:hAnsi="Times New Roman" w:cs="Times New Roman"/>
          <w:sz w:val="20"/>
          <w:szCs w:val="20"/>
        </w:rPr>
      </w:pPr>
      <w:r w:rsidRPr="003C766B">
        <w:rPr>
          <w:rFonts w:ascii="Times New Roman" w:hAnsi="Times New Roman" w:cs="Times New Roman"/>
          <w:b/>
          <w:sz w:val="20"/>
          <w:szCs w:val="20"/>
        </w:rPr>
        <w:t>Findings:</w:t>
      </w:r>
      <w:r w:rsidRPr="003C766B">
        <w:rPr>
          <w:rFonts w:ascii="Times New Roman" w:hAnsi="Times New Roman" w:cs="Times New Roman"/>
          <w:sz w:val="20"/>
          <w:szCs w:val="20"/>
        </w:rPr>
        <w:t xml:space="preserve"> </w:t>
      </w:r>
      <w:r w:rsidR="00E14FA4" w:rsidRPr="00E14FA4">
        <w:rPr>
          <w:rFonts w:ascii="Times New Roman" w:hAnsi="Times New Roman" w:cs="Times New Roman"/>
          <w:sz w:val="20"/>
          <w:szCs w:val="20"/>
        </w:rPr>
        <w:t>Financial regulations in Morocco exert a significant influence on insurance company profitability by enforcing rigorous risk management practices and ensuring compliance with solvency and investment guidelines. These regulations foster market stability, promote fair competition, and encourage insurers to innovate in product development and operational efficiency. Adapting to regulatory changes and economic conditions is essential for insurers seeking to optimize processes and investments, thereby enhancing profitability through strategic management and innovation.</w:t>
      </w:r>
    </w:p>
    <w:p w14:paraId="2E29DDF6" w14:textId="77777777" w:rsidR="00E14FA4" w:rsidRDefault="003C766B" w:rsidP="00E14FA4">
      <w:pPr>
        <w:jc w:val="both"/>
        <w:rPr>
          <w:rFonts w:ascii="Times New Roman" w:hAnsi="Times New Roman" w:cs="Times New Roman"/>
          <w:sz w:val="20"/>
          <w:szCs w:val="20"/>
        </w:rPr>
      </w:pPr>
      <w:r w:rsidRPr="003C766B">
        <w:rPr>
          <w:rFonts w:ascii="Times New Roman" w:hAnsi="Times New Roman" w:cs="Times New Roman"/>
          <w:b/>
          <w:sz w:val="20"/>
          <w:szCs w:val="20"/>
        </w:rPr>
        <w:t>Unique Contribution to Theory, Practice and Policy:</w:t>
      </w:r>
      <w:r w:rsidRPr="003C766B">
        <w:rPr>
          <w:rFonts w:ascii="Times New Roman" w:hAnsi="Times New Roman" w:cs="Times New Roman"/>
          <w:sz w:val="20"/>
          <w:szCs w:val="20"/>
        </w:rPr>
        <w:t xml:space="preserve"> </w:t>
      </w:r>
      <w:r w:rsidR="00E14FA4" w:rsidRPr="00E14FA4">
        <w:rPr>
          <w:rFonts w:ascii="Times New Roman" w:hAnsi="Times New Roman" w:cs="Times New Roman"/>
          <w:sz w:val="20"/>
          <w:szCs w:val="20"/>
        </w:rPr>
        <w:t>Agency theory, transaction cost economics &amp; resource dependency theory</w:t>
      </w:r>
      <w:r w:rsidR="00E14FA4">
        <w:rPr>
          <w:rFonts w:ascii="Times New Roman" w:hAnsi="Times New Roman" w:cs="Times New Roman"/>
          <w:sz w:val="20"/>
          <w:szCs w:val="20"/>
        </w:rPr>
        <w:t xml:space="preserve"> </w:t>
      </w:r>
      <w:r w:rsidRPr="003C766B">
        <w:rPr>
          <w:rFonts w:ascii="Times New Roman" w:hAnsi="Times New Roman" w:cs="Times New Roman"/>
          <w:sz w:val="20"/>
          <w:szCs w:val="20"/>
        </w:rPr>
        <w:t xml:space="preserve">may be used to anchor future studies on analyze </w:t>
      </w:r>
      <w:r w:rsidR="00E14FA4" w:rsidRPr="00E14FA4">
        <w:rPr>
          <w:rFonts w:ascii="Times New Roman" w:hAnsi="Times New Roman" w:cs="Times New Roman"/>
          <w:sz w:val="20"/>
          <w:szCs w:val="20"/>
        </w:rPr>
        <w:t>impact of financial regulations on insurance company profitability in Morocco</w:t>
      </w:r>
      <w:r w:rsidRPr="003C766B">
        <w:rPr>
          <w:rFonts w:ascii="Times New Roman" w:hAnsi="Times New Roman" w:cs="Times New Roman"/>
          <w:sz w:val="20"/>
          <w:szCs w:val="20"/>
        </w:rPr>
        <w:t xml:space="preserve">. </w:t>
      </w:r>
      <w:r w:rsidR="00E14FA4" w:rsidRPr="00E14FA4">
        <w:rPr>
          <w:rFonts w:ascii="Times New Roman" w:hAnsi="Times New Roman" w:cs="Times New Roman"/>
          <w:sz w:val="20"/>
          <w:szCs w:val="20"/>
        </w:rPr>
        <w:t xml:space="preserve">Encourage insurers to adopt adaptive risk management strategies that align with regulatory requirements while optimizing profitability. Advocate for greater harmonization of regulatory standards across jurisdictions to minimize compliance complexities for insurers operating in multiple markets. </w:t>
      </w:r>
    </w:p>
    <w:p w14:paraId="1734E024" w14:textId="77777777" w:rsidR="003C766B" w:rsidRPr="003C766B" w:rsidRDefault="003C766B" w:rsidP="00A95E27">
      <w:pPr>
        <w:rPr>
          <w:rFonts w:ascii="Times New Roman" w:hAnsi="Times New Roman" w:cs="Times New Roman"/>
          <w:i/>
          <w:sz w:val="20"/>
          <w:szCs w:val="20"/>
        </w:rPr>
      </w:pPr>
      <w:r w:rsidRPr="003C766B">
        <w:rPr>
          <w:rFonts w:ascii="Times New Roman" w:hAnsi="Times New Roman" w:cs="Times New Roman"/>
          <w:b/>
          <w:sz w:val="20"/>
          <w:szCs w:val="20"/>
        </w:rPr>
        <w:t>Keywords:</w:t>
      </w:r>
      <w:r w:rsidRPr="003C766B">
        <w:rPr>
          <w:rFonts w:ascii="Times New Roman" w:hAnsi="Times New Roman" w:cs="Times New Roman"/>
          <w:i/>
          <w:sz w:val="20"/>
          <w:szCs w:val="20"/>
        </w:rPr>
        <w:t xml:space="preserve"> </w:t>
      </w:r>
      <w:r w:rsidR="00E14FA4">
        <w:rPr>
          <w:rFonts w:ascii="Times New Roman" w:hAnsi="Times New Roman" w:cs="Times New Roman"/>
          <w:i/>
          <w:sz w:val="20"/>
          <w:szCs w:val="20"/>
        </w:rPr>
        <w:t xml:space="preserve">Financial Regulations, </w:t>
      </w:r>
      <w:r w:rsidR="00E14FA4" w:rsidRPr="00E14FA4">
        <w:rPr>
          <w:rFonts w:ascii="Times New Roman" w:hAnsi="Times New Roman" w:cs="Times New Roman"/>
          <w:i/>
          <w:sz w:val="20"/>
          <w:szCs w:val="20"/>
        </w:rPr>
        <w:t xml:space="preserve">Insurance Company Profitability </w:t>
      </w:r>
    </w:p>
    <w:p w14:paraId="62877A47" w14:textId="77777777" w:rsidR="003C766B" w:rsidRPr="003C766B" w:rsidRDefault="003C766B" w:rsidP="003C766B">
      <w:pPr>
        <w:rPr>
          <w:rFonts w:ascii="Times New Roman" w:hAnsi="Times New Roman" w:cs="Times New Roman"/>
          <w:sz w:val="20"/>
          <w:szCs w:val="20"/>
        </w:rPr>
      </w:pPr>
      <w:r w:rsidRPr="003C766B">
        <w:rPr>
          <w:rFonts w:ascii="Times New Roman" w:hAnsi="Times New Roman" w:cs="Times New Roman"/>
          <w:i/>
          <w:sz w:val="20"/>
          <w:szCs w:val="20"/>
        </w:rPr>
        <w:t>©2024 by the Authors. This Article is an open access article distributed under the terms and conditions of the Creative Commons Attribution (CC BY) license (http://creativecommons.org/licenses/by/4.0/)</w:t>
      </w:r>
    </w:p>
    <w:p w14:paraId="026ACE4A" w14:textId="77777777" w:rsidR="00A95E27" w:rsidRDefault="00A95E27" w:rsidP="00BC077B">
      <w:pPr>
        <w:spacing w:before="100" w:after="100" w:line="240" w:lineRule="auto"/>
        <w:jc w:val="both"/>
        <w:rPr>
          <w:rFonts w:ascii="Times New Roman" w:hAnsi="Times New Roman" w:cs="Times New Roman"/>
          <w:b/>
          <w:sz w:val="24"/>
          <w:szCs w:val="24"/>
        </w:rPr>
        <w:sectPr w:rsidR="00A95E27" w:rsidSect="00A95E27">
          <w:type w:val="continuous"/>
          <w:pgSz w:w="12240" w:h="15840"/>
          <w:pgMar w:top="1440" w:right="1440" w:bottom="1440" w:left="1440" w:header="720" w:footer="720" w:gutter="0"/>
          <w:cols w:num="2" w:space="720"/>
          <w:docGrid w:linePitch="360"/>
        </w:sectPr>
      </w:pPr>
    </w:p>
    <w:p w14:paraId="56788DDA" w14:textId="77777777" w:rsidR="00BC077B" w:rsidRDefault="00BC077B" w:rsidP="00BC077B">
      <w:pPr>
        <w:spacing w:before="100" w:after="100" w:line="240" w:lineRule="auto"/>
        <w:jc w:val="both"/>
        <w:rPr>
          <w:rFonts w:ascii="Times New Roman" w:hAnsi="Times New Roman" w:cs="Times New Roman"/>
          <w:b/>
          <w:sz w:val="24"/>
          <w:szCs w:val="24"/>
        </w:rPr>
      </w:pPr>
    </w:p>
    <w:p w14:paraId="69E6BB0A" w14:textId="77777777" w:rsidR="007F0DCB" w:rsidRPr="00BC077B" w:rsidRDefault="007F0DCB" w:rsidP="00BC077B">
      <w:pPr>
        <w:spacing w:before="100" w:after="100" w:line="240" w:lineRule="auto"/>
        <w:jc w:val="both"/>
        <w:rPr>
          <w:rFonts w:ascii="Times New Roman" w:hAnsi="Times New Roman" w:cs="Times New Roman"/>
          <w:b/>
          <w:sz w:val="24"/>
          <w:szCs w:val="24"/>
        </w:rPr>
      </w:pPr>
      <w:r w:rsidRPr="00BC077B">
        <w:rPr>
          <w:rFonts w:ascii="Times New Roman" w:hAnsi="Times New Roman" w:cs="Times New Roman"/>
          <w:b/>
          <w:sz w:val="24"/>
          <w:szCs w:val="24"/>
        </w:rPr>
        <w:lastRenderedPageBreak/>
        <w:t>INTRODUCTION</w:t>
      </w:r>
    </w:p>
    <w:p w14:paraId="53A24D1E" w14:textId="77777777" w:rsidR="007F0DCB" w:rsidRPr="00BC077B" w:rsidRDefault="007F0DCB"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Profitability metrics are crucial indicators for assessing the financial health and performance of insurance companies. In developed economies like the USA and Japan, insurance companies typically measure profitability through metrics such as return on assets (ROA) and net profit margin (NPM). For instance, in the USA, ROA for insurance companies has shown a steady trend, with top performers consistently achieving higher returns due to effective risk management and investment strategies (Smith, 2019). Net profit margins have also seen variation but generally reflect the industry's ability to manage operational costs and underwriting profitability (Johnson, 2018).</w:t>
      </w:r>
    </w:p>
    <w:p w14:paraId="1475539D" w14:textId="77777777" w:rsidR="007F0DCB" w:rsidRPr="00BC077B" w:rsidRDefault="007F0DCB"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In Asian economies such as South Korea and Singapore, insurance companies experience robust profitability metrics driven by strong economic growth and regulatory stability. ROA tends to be higher due to effective risk management and investment strategies tailored to local market conditions (Kim, 2020). NPM reflects efficient cost management and competitive premium pricing strategies amidst growing insurance penetration (Lee, 2019). Insurers in Asia leverage technological advancements to streamline operations and expand market reach, contributing to sustained profitability in the region. In European countries like Germany and France, insurance profitability metrics are influenced by regulatory frameworks like Solvency II and economic conditions within the Eurozone. Return on assets (ROA) reflects stable investment returns and efficient capital management strategies (Schulz, 2020). Net profit margins (NPM) vary but generally benefit from diversified revenue streams and stringent cost controls (Müller, 2019). Insurers in these markets focus on sustainability and digital transformation to maintain profitability amidst competitive pressures and changing consumer behaviors (Leclerc, 2018).</w:t>
      </w:r>
    </w:p>
    <w:p w14:paraId="74156E19" w14:textId="77777777" w:rsidR="007F0DCB" w:rsidRPr="00BC077B" w:rsidRDefault="007F0DCB"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In developing economies such as Brazil and India, insurance companies face different challenges and opportunities. ROA metrics in these markets often fluctuate more due to economic volatility and regulatory changes impacting investment returns and underwriting results (Silva, 2017). Net profit margins tend to be narrower compared to developed markets, influenced by higher operational costs and lower premium pricing power (Patel, 2016). Despite these challenges, growth prospects in these regions attract insurers seeking to capitalize on expanding middle-class demographics and rising insurance penetration. In Asian economies such as South Korea and Singapore, insurance companies experience robust profitability metrics driven by strong economic growth and regulatory stability. ROA tends to be higher due to effective risk management and investment strategies tailored to local market conditions (Kim, 2020). NPM reflects efficient cost management and competitive premium pricing strategies amidst growing insurance penetration (Lee, 2019). Insurers in Asia leverage technological advancements to streamline operations and expand market reach, contributing to sustained profitability in the region.</w:t>
      </w:r>
    </w:p>
    <w:p w14:paraId="752D9A88" w14:textId="77777777" w:rsidR="007F0DCB" w:rsidRPr="00BC077B" w:rsidRDefault="007F0DCB"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In the Australasian region, including Australia and New Zealand, insurance profitability metrics show resilience amidst economic fluctuations and natural disaster risks. ROA metrics are influenced by investment performance and underwriting discipline tailored to local risk profiles (Jones, 2021). NPM indicators reflect efficiency gains from digital innovation and proactive risk management practices (Smith, 2020). Insurers in these markets emphasize customer-centric strategies and climate resilience initiatives to sustain profitability in a challenging environment (Brown, 2019).</w:t>
      </w:r>
    </w:p>
    <w:p w14:paraId="718E5182" w14:textId="77777777" w:rsidR="007F0DCB" w:rsidRPr="00BC077B" w:rsidRDefault="007F0DCB"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lastRenderedPageBreak/>
        <w:t>In Middle Eastern countries like UAE and Saudi Arabia, insurance profitability metrics are influenced by oil prices, economic diversification efforts, and regulatory reforms. ROA metrics reflect strategic investments in infrastructure and financial markets, with varying impacts from regional geopolitical dynamics (Ali, 2017). NPM indicators show resilience amidst economic reforms and increasing insurance demand from expanding populations and infrastructure projects (Khan, 2018). Insurers in these markets focus on innovation in Sharia-compliant products and digital services to enhance profitability and customer engagement.</w:t>
      </w:r>
    </w:p>
    <w:p w14:paraId="7BD9DD09" w14:textId="77777777" w:rsidR="007F0DCB" w:rsidRPr="00BC077B" w:rsidRDefault="007F0DCB"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In North African countries like Egypt and Morocco, insurance profitability metrics reflect diverse economic landscapes and regulatory reforms. ROA metrics vary with market stability and investment returns amidst regional geopolitical dynamics (Abdel-Meguid, 2019). NPM indicators face pressures from currency fluctuations and regulatory changes impacting premium pricing and claims management (Hassan, 2018). Insurers in these markets focus on expanding insurance penetration and enhancing operational efficiencies to improve profitability amid economic uncertainties (El-Sayed, 2020). In South American countries like Chile and Colombia, insurance profitability metrics are shaped by economic stability, regulatory frameworks, and regional market dynamics. Return on assets (ROA) metrics show variations influenced by investment strategies and local economic conditions (Rodriguez, 2020). Net profit margins (NPM) reflect competitive pricing pressures and operational efficiencies amidst regulatory changes (Gomez, 2019). Insurers in these markets focus on product innovation and digital transformation to enhance customer engagement and profitability amid economic uncertainties and regulatory challenges (Fernandez, 2018).</w:t>
      </w:r>
    </w:p>
    <w:p w14:paraId="7001A95D" w14:textId="77777777" w:rsidR="007F0DCB" w:rsidRPr="00BC077B" w:rsidRDefault="007F0DCB"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In Eastern European countries such as Poland and Romania, insurance profitability metrics reflect post-communist economic transitions and regulatory reforms. ROA metrics show resilience amidst market integration with the European Union and investment in local economies (Kowalski, 2021). NPM indicators benefit from cost-effective operational models and diversified product portfolios catering to regional market demands (Nowak, 2020). Insurers in these markets navigate geopolitical risks and demographic shifts to sustain profitability through strategic market positioning and digital advancements (Wojcik, 2019). In Central Asian countries like Kazakhstan and Uzbekistan, insurance profitability metrics reflect emerging market dynamics and economic diversification efforts. ROA metrics vary with investment returns and regulatory developments impacting capital adequacy (Ivanov, 2019). NPM indicators face challenges from currency volatility and operational costs in expanding insurance coverage (Sultanov, 2018). Insurers in these markets focus on enhancing risk management capabilities and expanding distribution channels to capitalize on growing middle-class populations and infrastructure investments (Nazarov, 2020).</w:t>
      </w:r>
    </w:p>
    <w:p w14:paraId="0ACB41CF" w14:textId="77777777" w:rsidR="007F0DCB" w:rsidRPr="00BC077B" w:rsidRDefault="007F0DCB"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In Sub-Saharan Africa, insurance profitability metrics vary significantly across countries due to diverse economic conditions and regulatory environments. Countries like Kenya and South Africa have shown improving ROA figures as insurers adapt to local market dynamics and invest in technology to enhance operational efficiency (Makau, 2020). Net profit margins in these regions reflect efforts to balance premium growth with stringent cost management amid competitive pressures and regulatory compliance (Moyo, 2018). The region presents opportunities for insurers to innovate products tailored to local needs while navigating challenges such as political instability and infrastructure constraints.</w:t>
      </w:r>
    </w:p>
    <w:p w14:paraId="32A860C4" w14:textId="77777777" w:rsidR="00992208" w:rsidRPr="00BC077B" w:rsidRDefault="00992208"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lastRenderedPageBreak/>
        <w:t>The stringency of financial regulations refers to the strictness and comprehensiveness of rules governing financial institutions, including insurance companies. Four key quantitative measures of stringency include capital requirements, liquidity requirements, risk management standards, and regulatory compliance costs. Capital requirements mandate that insurers maintain a minimum level of capital relative to their risk exposures, ensuring they can cover potential losses. Higher capital requirements typically reduce leverage and mitigate risk but may also affect profitability metrics like return on assets (ROA) by limiting investment opportunities (Smith, 2018).</w:t>
      </w:r>
    </w:p>
    <w:p w14:paraId="00950C62" w14:textId="77777777" w:rsidR="00992208" w:rsidRPr="00BC077B" w:rsidRDefault="00992208"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Liquidity requirements dictate the proportion of liquid assets insurers must hold to meet short-term obligations, impacting their ability to invest in higher-yielding but less liquid assets. Stricter liquidity standards can enhance financial stability but may constrain profitability metrics such as net profit margin (NPM) by increasing costs associated with maintaining liquid reserves (Jones, 2019). Risk management standards set guidelines for identifying, assessing, and managing risks, influencing insurers' operational efficiency and their ability to maintain profitability amidst market uncertainties (Brown, 2020). Regulatory compliance costs encompass expenses incurred to meet regulatory obligations, which can divert resources away from core business activities and impact overall profitability metrics over time (Garcia, 2021).</w:t>
      </w:r>
    </w:p>
    <w:p w14:paraId="7108C285" w14:textId="77777777" w:rsidR="007F0DCB" w:rsidRPr="00BC077B" w:rsidRDefault="007F0DCB" w:rsidP="00BC077B">
      <w:pPr>
        <w:spacing w:before="100" w:after="100" w:line="240" w:lineRule="auto"/>
        <w:jc w:val="both"/>
        <w:rPr>
          <w:rFonts w:ascii="Times New Roman" w:hAnsi="Times New Roman" w:cs="Times New Roman"/>
          <w:b/>
          <w:sz w:val="24"/>
          <w:szCs w:val="24"/>
        </w:rPr>
      </w:pPr>
      <w:r w:rsidRPr="00BC077B">
        <w:rPr>
          <w:rFonts w:ascii="Times New Roman" w:hAnsi="Times New Roman" w:cs="Times New Roman"/>
          <w:b/>
          <w:sz w:val="24"/>
          <w:szCs w:val="24"/>
        </w:rPr>
        <w:t>Problem Statement</w:t>
      </w:r>
    </w:p>
    <w:p w14:paraId="781B6DFD" w14:textId="77777777" w:rsidR="00992208" w:rsidRPr="00BC077B" w:rsidRDefault="00992208"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The effectiveness of financial regulations in the insurance sector is a critical concern, as stringent regulatory frameworks can significantly impact insurers' profitability metrics such as return on assets (ROA) and net profit margin (NPM). Recent studies suggest that capital requirements, liquidity standards, risk management guidelines, and regulatory compliance costs exert varying degrees of influence on insurance companies' financial performance (Brown, 2020; Garcia, 2021; Smith, 2018). Understanding how these regulations affect profitability is essential for insurers, regulators, and policymakers to strike a balance between financial stability and industry competitiveness. However, there remains a gap in comprehensive empirical research that quantitatively measures and analyzes the direct impact of specific regulatory components on different aspects of insurance company profitability across global markets. Addressing this gap will provide valuable insights into optimizing regulatory frameworks to support sustainable growth and stability in the insurance sector.</w:t>
      </w:r>
    </w:p>
    <w:p w14:paraId="4F576A16" w14:textId="77777777" w:rsidR="007F0DCB" w:rsidRPr="00BC077B" w:rsidRDefault="007F0DCB" w:rsidP="00BC077B">
      <w:pPr>
        <w:spacing w:before="100" w:after="100" w:line="240" w:lineRule="auto"/>
        <w:jc w:val="both"/>
        <w:rPr>
          <w:rFonts w:ascii="Times New Roman" w:hAnsi="Times New Roman" w:cs="Times New Roman"/>
          <w:b/>
          <w:sz w:val="24"/>
          <w:szCs w:val="24"/>
        </w:rPr>
      </w:pPr>
      <w:r w:rsidRPr="00BC077B">
        <w:rPr>
          <w:rFonts w:ascii="Times New Roman" w:hAnsi="Times New Roman" w:cs="Times New Roman"/>
          <w:b/>
          <w:sz w:val="24"/>
          <w:szCs w:val="24"/>
        </w:rPr>
        <w:t>Theoretical Framework</w:t>
      </w:r>
    </w:p>
    <w:p w14:paraId="678DAC7A" w14:textId="77777777" w:rsidR="002064D6" w:rsidRPr="00BC077B" w:rsidRDefault="002064D6" w:rsidP="00BC077B">
      <w:pPr>
        <w:spacing w:before="100" w:after="100" w:line="240" w:lineRule="auto"/>
        <w:jc w:val="both"/>
        <w:rPr>
          <w:rFonts w:ascii="Times New Roman" w:hAnsi="Times New Roman" w:cs="Times New Roman"/>
          <w:b/>
          <w:sz w:val="24"/>
          <w:szCs w:val="24"/>
        </w:rPr>
      </w:pPr>
      <w:r w:rsidRPr="00BC077B">
        <w:rPr>
          <w:rFonts w:ascii="Times New Roman" w:hAnsi="Times New Roman" w:cs="Times New Roman"/>
          <w:b/>
          <w:sz w:val="24"/>
          <w:szCs w:val="24"/>
        </w:rPr>
        <w:t>Agency Theory</w:t>
      </w:r>
    </w:p>
    <w:p w14:paraId="411EA008" w14:textId="77777777" w:rsidR="00992208" w:rsidRPr="00E14FA4" w:rsidRDefault="00992208"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Originating from Jensen and Meckling (1976), agency theory explores the relationship between principals (shareholders) and agents (management) in organizations. It posits that conflicts of interest arise when agents pursue their own interests rather than those of shareholders, leading to agency costs. In the context of insurance companies, stringent financial regulations act as mechanisms to align the interests of management with those of shareholders by prescribing transparency, accountability, and risk management practices (Jones, 2020). This theory is relevant as it helps analyze how regulatory frameworks influence decision-making processes within insurers, potentially impacting profitability metrics like return on assets (ROA) and net profit margin (NPM).</w:t>
      </w:r>
    </w:p>
    <w:p w14:paraId="10ED4B49" w14:textId="77777777" w:rsidR="00A95D22" w:rsidRDefault="00A95D22" w:rsidP="00BC077B">
      <w:pPr>
        <w:spacing w:before="100" w:after="100" w:line="240" w:lineRule="auto"/>
        <w:jc w:val="both"/>
        <w:rPr>
          <w:rFonts w:ascii="Times New Roman" w:hAnsi="Times New Roman" w:cs="Times New Roman"/>
          <w:b/>
          <w:sz w:val="24"/>
          <w:szCs w:val="24"/>
        </w:rPr>
      </w:pPr>
    </w:p>
    <w:p w14:paraId="4EEE3955" w14:textId="5DD6B512" w:rsidR="002064D6" w:rsidRPr="00BC077B" w:rsidRDefault="002064D6" w:rsidP="00BC077B">
      <w:pPr>
        <w:spacing w:before="100" w:after="100" w:line="240" w:lineRule="auto"/>
        <w:jc w:val="both"/>
        <w:rPr>
          <w:rFonts w:ascii="Times New Roman" w:hAnsi="Times New Roman" w:cs="Times New Roman"/>
          <w:b/>
          <w:sz w:val="24"/>
          <w:szCs w:val="24"/>
        </w:rPr>
      </w:pPr>
      <w:r w:rsidRPr="00BC077B">
        <w:rPr>
          <w:rFonts w:ascii="Times New Roman" w:hAnsi="Times New Roman" w:cs="Times New Roman"/>
          <w:b/>
          <w:sz w:val="24"/>
          <w:szCs w:val="24"/>
        </w:rPr>
        <w:lastRenderedPageBreak/>
        <w:t>Transaction Cost Economics</w:t>
      </w:r>
    </w:p>
    <w:p w14:paraId="241A5755" w14:textId="77777777" w:rsidR="00992208" w:rsidRPr="00BC077B" w:rsidRDefault="00992208"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Coase (1937) and Williamson (1975) developed transaction cost economics to explain how organizations choose governance structures to minimize transaction costs associated with economic activities. In insurance, regulatory requirements such as capital adequacy and liquidity standards influence transaction costs related to capital sourcing, compliance, and operational efficiencies (Smith, 2019). This theory is pertinent as it helps understand how regulatory environments shape the operational landscape of insurers, affecting their profitability through increased operational costs and resource allocations.</w:t>
      </w:r>
    </w:p>
    <w:p w14:paraId="21952F79" w14:textId="77777777" w:rsidR="002064D6" w:rsidRPr="00BC077B" w:rsidRDefault="00992208" w:rsidP="00BC077B">
      <w:pPr>
        <w:spacing w:before="100" w:after="100" w:line="240" w:lineRule="auto"/>
        <w:jc w:val="both"/>
        <w:rPr>
          <w:rFonts w:ascii="Times New Roman" w:hAnsi="Times New Roman" w:cs="Times New Roman"/>
          <w:b/>
          <w:sz w:val="24"/>
          <w:szCs w:val="24"/>
        </w:rPr>
      </w:pPr>
      <w:r w:rsidRPr="00BC077B">
        <w:rPr>
          <w:rFonts w:ascii="Times New Roman" w:hAnsi="Times New Roman" w:cs="Times New Roman"/>
          <w:b/>
          <w:sz w:val="24"/>
          <w:szCs w:val="24"/>
        </w:rPr>
        <w:t>Resource Dependency Theory</w:t>
      </w:r>
    </w:p>
    <w:p w14:paraId="734AF564" w14:textId="77777777" w:rsidR="00992208" w:rsidRPr="00BC077B" w:rsidRDefault="00992208"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Pfeffer and Salancik (1978) proposed resource dependency theory, which emphasizes how organizations depend on external resources and how power dynamics influence their strategies and outcomes. In the insurance sector, compliance with financial regulations is essential for maintaining access to capital markets, managing risk exposures, and ensuring operational resilience (Brown, 2021). This theory is relevant as it underscores the strategic responses of insurers to regulatory pressures, impacting profitability metrics by influencing resource allocation decisions and competitive positioning.</w:t>
      </w:r>
    </w:p>
    <w:p w14:paraId="1DB505A0" w14:textId="77777777" w:rsidR="007F0DCB" w:rsidRPr="00BC077B" w:rsidRDefault="007F0DCB" w:rsidP="00BC077B">
      <w:pPr>
        <w:spacing w:before="100" w:after="100" w:line="240" w:lineRule="auto"/>
        <w:jc w:val="both"/>
        <w:rPr>
          <w:rFonts w:ascii="Times New Roman" w:hAnsi="Times New Roman" w:cs="Times New Roman"/>
          <w:b/>
          <w:sz w:val="24"/>
          <w:szCs w:val="24"/>
        </w:rPr>
      </w:pPr>
      <w:r w:rsidRPr="00BC077B">
        <w:rPr>
          <w:rFonts w:ascii="Times New Roman" w:hAnsi="Times New Roman" w:cs="Times New Roman"/>
          <w:b/>
          <w:sz w:val="24"/>
          <w:szCs w:val="24"/>
        </w:rPr>
        <w:t>Empirical Review</w:t>
      </w:r>
    </w:p>
    <w:p w14:paraId="44A58E30" w14:textId="77777777" w:rsidR="00992208" w:rsidRPr="00BC077B" w:rsidRDefault="00992208"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 xml:space="preserve">Brown (2018) </w:t>
      </w:r>
      <w:r w:rsidR="002064D6" w:rsidRPr="00BC077B">
        <w:rPr>
          <w:rFonts w:ascii="Times New Roman" w:hAnsi="Times New Roman" w:cs="Times New Roman"/>
          <w:sz w:val="24"/>
          <w:szCs w:val="24"/>
        </w:rPr>
        <w:t>examined</w:t>
      </w:r>
      <w:r w:rsidRPr="00BC077B">
        <w:rPr>
          <w:rFonts w:ascii="Times New Roman" w:hAnsi="Times New Roman" w:cs="Times New Roman"/>
          <w:sz w:val="24"/>
          <w:szCs w:val="24"/>
        </w:rPr>
        <w:t xml:space="preserve"> the impact of capital adequacy requirements on insurance company profitability across European markets. The study employed a quantitative analysis of financial data and regulatory compliance metrics to assess how stringent capital standards influenced insurers' financial stability and operational resilience. Findings indicated a positive correlation between higher capital adequacy ratios and improved solvency margins, suggesting that well-capitalized insurers were better positioned to absorb financial shocks and maintain profitability during economic downturns. Recommendations from the study emphasized the importance of ongoing monitoring and adaptation of regulatory frameworks to optimize financial resilience without unduly burdening insurers with</w:t>
      </w:r>
      <w:r w:rsidR="002064D6" w:rsidRPr="00BC077B">
        <w:rPr>
          <w:rFonts w:ascii="Times New Roman" w:hAnsi="Times New Roman" w:cs="Times New Roman"/>
          <w:sz w:val="24"/>
          <w:szCs w:val="24"/>
        </w:rPr>
        <w:t xml:space="preserve"> excessive capital requirements.</w:t>
      </w:r>
    </w:p>
    <w:p w14:paraId="1E4C90B8" w14:textId="77777777" w:rsidR="00992208" w:rsidRPr="00BC077B" w:rsidRDefault="00992208"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Garcia (2019) conducted a comparative analysis of liquidity requirements' impact on insurance company profitability, focusing on differences between developed and emerging markets. The study utilized empirical data to explore how regulatory liquidity standards influenced insurers' liquidity management strategies and financial performance metrics. Findings highlighted varying impacts across different market contexts, with developed market insurers demonstrating more robust liquidity management practices compared to their counterparts in emerging markets. The study recommended tailored regulatory approaches that balance liquidity risk mitigation with the need to foster market competitiveness</w:t>
      </w:r>
      <w:r w:rsidR="007D0081" w:rsidRPr="00BC077B">
        <w:rPr>
          <w:rFonts w:ascii="Times New Roman" w:hAnsi="Times New Roman" w:cs="Times New Roman"/>
          <w:sz w:val="24"/>
          <w:szCs w:val="24"/>
        </w:rPr>
        <w:t xml:space="preserve"> and innovation among insurers.</w:t>
      </w:r>
    </w:p>
    <w:p w14:paraId="7A58AF0B" w14:textId="77777777" w:rsidR="007D0081" w:rsidRPr="00BC077B" w:rsidRDefault="007D0081"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 xml:space="preserve">Jones and Smith (2020) assessed the impact of risk management standards on insurance company performance across global markets. The study employed a mixed-methods approach to examine how regulatory expectations for risk assessment and mitigation influenced insurers' underwriting practices and operational efficiencies. Key findings underscored the critical role of integrated risk management frameworks in enhancing insurers' ability to manage underwriting risks effectively and mitigate operational vulnerabilities. Recommendations from the study emphasized the </w:t>
      </w:r>
      <w:r w:rsidRPr="00BC077B">
        <w:rPr>
          <w:rFonts w:ascii="Times New Roman" w:hAnsi="Times New Roman" w:cs="Times New Roman"/>
          <w:sz w:val="24"/>
          <w:szCs w:val="24"/>
        </w:rPr>
        <w:lastRenderedPageBreak/>
        <w:t>adoption of robust risk management practices aligned with regulatory guidelines to improve overall financial performance and resilience in volatile market conditions.</w:t>
      </w:r>
    </w:p>
    <w:p w14:paraId="37402EC9" w14:textId="77777777" w:rsidR="007D0081" w:rsidRPr="00BC077B" w:rsidRDefault="007D0081"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Chen (2021) investigated the relationship between regulatory compliance costs and insurance company profitability in the context of Asian markets. Their study utilized financial data and qualitative interviews to analyze how regulatory compliance expenses affected insurers' operational budgets and overall financial performance. Findings revealed that higher compliance costs were associated with reduced profitability margins, particularly among smaller insurers with limited resources to absorb regulatory expenses. The study recommended regulatory reforms aimed at streamlining compliance processes and reducing the financial burden on insurers while maintaining regulatory effectiveness.</w:t>
      </w:r>
    </w:p>
    <w:p w14:paraId="344F9D2D" w14:textId="77777777" w:rsidR="007D0081" w:rsidRPr="00BC077B" w:rsidRDefault="007D0081"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Kim and Park (2019) examined the impact of regulatory changes on insurance market competition and profitability in South Korea. Their study employed econometric models and market share analysis to assess how regulatory reforms influenced insurers' competitive strategies and financial outcomes. Findings indicated that regulatory interventions aimed at enhancing market transparency and consumer protection fostered greater competition but also exerted pressure on insurers' profit margins. Recommendations included adaptive regulatory frameworks that balance competitive dynamics with financial stability goals to support sustainable growth in the insurance sector.</w:t>
      </w:r>
    </w:p>
    <w:p w14:paraId="6D4D9E1D" w14:textId="77777777" w:rsidR="007D0081" w:rsidRPr="00BC077B" w:rsidRDefault="007D0081"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Nguyen (2018) conducted an impact assessment of Solvency II regulations on insurance company profitability across European Union markets. Their study utilized financial modeling and scenario analysis to evaluate how the implementation of Solvency II directives influenced insurers' risk management practices and financial performance metrics. Findings highlighted improvements in capital adequacy and risk-adjusted returns among compliant insurers, albeit with varying impacts on profitability across different market segments. The study recommended ongoing monitoring and adjustments to Solvency II frameworks to optimize regulatory outcomes and support long-term profitability in the insurance industry.</w:t>
      </w:r>
    </w:p>
    <w:p w14:paraId="55B7A569" w14:textId="77777777" w:rsidR="007D0081" w:rsidRPr="00BC077B" w:rsidRDefault="007D0081"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Tan (2020) investigated the effects of macro prudential policies on insurer stability and profitability in Southeast Asian markets. Their study combined quantitative analysis of regulatory data with case studies to assess how macro prudential measures influenced insurers' risk exposure management and financial resilience. Findings suggested that effective implementation of macro prudential policies enhanced insurers' ability to withstand systemic risks and economic shocks, thereby supporting long-term profitability and market confidence. The study recommended coordinated policy frameworks that integrate macro prudential regulations with micro-level risk management practices to enhance overall sector stability.</w:t>
      </w:r>
    </w:p>
    <w:p w14:paraId="01519620" w14:textId="77777777" w:rsidR="007F0DCB" w:rsidRPr="00BC077B" w:rsidRDefault="007F0DCB" w:rsidP="00BC077B">
      <w:pPr>
        <w:spacing w:before="100" w:after="100" w:line="240" w:lineRule="auto"/>
        <w:jc w:val="both"/>
        <w:rPr>
          <w:rFonts w:ascii="Times New Roman" w:hAnsi="Times New Roman" w:cs="Times New Roman"/>
          <w:b/>
          <w:sz w:val="24"/>
          <w:szCs w:val="24"/>
        </w:rPr>
      </w:pPr>
      <w:r w:rsidRPr="00BC077B">
        <w:rPr>
          <w:rFonts w:ascii="Times New Roman" w:hAnsi="Times New Roman" w:cs="Times New Roman"/>
          <w:b/>
          <w:sz w:val="24"/>
          <w:szCs w:val="24"/>
        </w:rPr>
        <w:t>METHODOLOGY</w:t>
      </w:r>
    </w:p>
    <w:p w14:paraId="31F8E919" w14:textId="77777777" w:rsidR="007F0DCB" w:rsidRPr="00BC077B" w:rsidRDefault="007F0DCB"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This study adopted a desk methodology. A desk study research design is commonly known as secondary data collection. This is basically collecting data from existing resources preferably because of its low-cost advantage as compared to field research. Our current study looked into already published studies and reports as the data was easily accessed through online journals and libraries.</w:t>
      </w:r>
    </w:p>
    <w:p w14:paraId="53E9A8D1" w14:textId="77777777" w:rsidR="00A95D22" w:rsidRDefault="00A95D22" w:rsidP="00BC077B">
      <w:pPr>
        <w:spacing w:before="100" w:after="100" w:line="240" w:lineRule="auto"/>
        <w:jc w:val="both"/>
        <w:rPr>
          <w:rFonts w:ascii="Times New Roman" w:hAnsi="Times New Roman" w:cs="Times New Roman"/>
          <w:b/>
          <w:sz w:val="24"/>
          <w:szCs w:val="24"/>
        </w:rPr>
      </w:pPr>
    </w:p>
    <w:p w14:paraId="351322A6" w14:textId="75122385" w:rsidR="007F0DCB" w:rsidRPr="00BC077B" w:rsidRDefault="007F0DCB" w:rsidP="00BC077B">
      <w:pPr>
        <w:spacing w:before="100" w:after="100" w:line="240" w:lineRule="auto"/>
        <w:jc w:val="both"/>
        <w:rPr>
          <w:rFonts w:ascii="Times New Roman" w:hAnsi="Times New Roman" w:cs="Times New Roman"/>
          <w:b/>
          <w:sz w:val="24"/>
          <w:szCs w:val="24"/>
        </w:rPr>
      </w:pPr>
      <w:r w:rsidRPr="00BC077B">
        <w:rPr>
          <w:rFonts w:ascii="Times New Roman" w:hAnsi="Times New Roman" w:cs="Times New Roman"/>
          <w:b/>
          <w:sz w:val="24"/>
          <w:szCs w:val="24"/>
        </w:rPr>
        <w:lastRenderedPageBreak/>
        <w:t>FINDINGS</w:t>
      </w:r>
    </w:p>
    <w:p w14:paraId="3A2512FC" w14:textId="77777777" w:rsidR="007F0DCB" w:rsidRPr="00BC077B" w:rsidRDefault="007F0DCB"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The results were analyzed into various research gap categories that is conceptual, contextual and methodological gaps</w:t>
      </w:r>
    </w:p>
    <w:p w14:paraId="3B56131E" w14:textId="77777777" w:rsidR="007D0081" w:rsidRPr="00BC077B" w:rsidRDefault="007D0081" w:rsidP="00BC077B">
      <w:pPr>
        <w:spacing w:before="100" w:after="100" w:line="240" w:lineRule="auto"/>
        <w:jc w:val="both"/>
        <w:rPr>
          <w:rFonts w:ascii="Times New Roman" w:hAnsi="Times New Roman" w:cs="Times New Roman"/>
          <w:b/>
          <w:sz w:val="24"/>
          <w:szCs w:val="24"/>
        </w:rPr>
      </w:pPr>
      <w:r w:rsidRPr="00BC077B">
        <w:rPr>
          <w:rFonts w:ascii="Times New Roman" w:hAnsi="Times New Roman" w:cs="Times New Roman"/>
          <w:b/>
          <w:sz w:val="24"/>
          <w:szCs w:val="24"/>
        </w:rPr>
        <w:t xml:space="preserve">Conceptual Gaps: </w:t>
      </w:r>
      <w:r w:rsidRPr="00BC077B">
        <w:rPr>
          <w:rFonts w:ascii="Times New Roman" w:hAnsi="Times New Roman" w:cs="Times New Roman"/>
          <w:sz w:val="24"/>
          <w:szCs w:val="24"/>
        </w:rPr>
        <w:t>While studies like Brown (2018) and Nguyen (2018) focus on specific regulatory requirements (capital adequacy and Solvency II), there is a gap in integrating the combined impact of multiple regulations on insurance company profitability. Future research could explore how interactions between different regulatory frameworks (e.g., capital adequacy, liquidity, risk management) collectively influence financial performance and operational resilience in the insurance sector.</w:t>
      </w:r>
      <w:r w:rsidRPr="00BC077B">
        <w:rPr>
          <w:rFonts w:ascii="Times New Roman" w:hAnsi="Times New Roman" w:cs="Times New Roman"/>
          <w:b/>
          <w:sz w:val="24"/>
          <w:szCs w:val="24"/>
        </w:rPr>
        <w:t xml:space="preserve"> </w:t>
      </w:r>
      <w:r w:rsidRPr="00BC077B">
        <w:rPr>
          <w:rFonts w:ascii="Times New Roman" w:hAnsi="Times New Roman" w:cs="Times New Roman"/>
          <w:sz w:val="24"/>
          <w:szCs w:val="24"/>
        </w:rPr>
        <w:t>Most studies offer snapshots of regulatory impacts at specific points in time. There is a need for longitudinal studies that track regulatory changes over extended periods to assess their evolving effects on insurance company profitability and adaptability to market dynamics.</w:t>
      </w:r>
    </w:p>
    <w:p w14:paraId="702845A7" w14:textId="77777777" w:rsidR="007D0081" w:rsidRPr="00BC077B" w:rsidRDefault="007D0081" w:rsidP="00BC077B">
      <w:pPr>
        <w:spacing w:before="100" w:after="100" w:line="240" w:lineRule="auto"/>
        <w:jc w:val="both"/>
        <w:rPr>
          <w:rFonts w:ascii="Times New Roman" w:hAnsi="Times New Roman" w:cs="Times New Roman"/>
          <w:b/>
          <w:sz w:val="24"/>
          <w:szCs w:val="24"/>
        </w:rPr>
      </w:pPr>
      <w:r w:rsidRPr="00BC077B">
        <w:rPr>
          <w:rFonts w:ascii="Times New Roman" w:hAnsi="Times New Roman" w:cs="Times New Roman"/>
          <w:b/>
          <w:sz w:val="24"/>
          <w:szCs w:val="24"/>
        </w:rPr>
        <w:t xml:space="preserve">Contextual Gaps: </w:t>
      </w:r>
      <w:r w:rsidRPr="00BC077B">
        <w:rPr>
          <w:rFonts w:ascii="Times New Roman" w:hAnsi="Times New Roman" w:cs="Times New Roman"/>
          <w:sz w:val="24"/>
          <w:szCs w:val="24"/>
        </w:rPr>
        <w:t>While Garcia (2019) addresses liquidity requirements in developed versus emerging markets, there remains a gap in understanding how unique contextual factors in emerging markets (such as regulatory compliance challenges, economic volatility) affect insurers differently compared to developed markets. Future studies could delve deeper into these contextual nuances to provide tailored regulatory recommendations for different market contexts.</w:t>
      </w:r>
      <w:r w:rsidRPr="00BC077B">
        <w:rPr>
          <w:rFonts w:ascii="Times New Roman" w:hAnsi="Times New Roman" w:cs="Times New Roman"/>
          <w:b/>
          <w:sz w:val="24"/>
          <w:szCs w:val="24"/>
        </w:rPr>
        <w:t xml:space="preserve"> </w:t>
      </w:r>
      <w:r w:rsidRPr="00BC077B">
        <w:rPr>
          <w:rFonts w:ascii="Times New Roman" w:hAnsi="Times New Roman" w:cs="Times New Roman"/>
          <w:sz w:val="24"/>
          <w:szCs w:val="24"/>
        </w:rPr>
        <w:t>Studies like Tan (2020) focus broadly on macro prudential policies. There is a gap in exploring sector-specific impacts of regulations (e.g., life insurance versus general insurance) on profitability metrics. Research could investigate how regulations impact different insurance sectors differently and how insurers within each sector adapt to regulatory changes.</w:t>
      </w:r>
    </w:p>
    <w:p w14:paraId="54051D1D" w14:textId="60C8832E" w:rsidR="007D0081" w:rsidRPr="00BC077B" w:rsidRDefault="007D0081" w:rsidP="00BC077B">
      <w:pPr>
        <w:spacing w:before="100" w:after="100" w:line="240" w:lineRule="auto"/>
        <w:jc w:val="both"/>
        <w:rPr>
          <w:rFonts w:ascii="Times New Roman" w:hAnsi="Times New Roman" w:cs="Times New Roman"/>
          <w:b/>
          <w:sz w:val="24"/>
          <w:szCs w:val="24"/>
        </w:rPr>
      </w:pPr>
      <w:r w:rsidRPr="00BC077B">
        <w:rPr>
          <w:rFonts w:ascii="Times New Roman" w:hAnsi="Times New Roman" w:cs="Times New Roman"/>
          <w:b/>
          <w:sz w:val="24"/>
          <w:szCs w:val="24"/>
        </w:rPr>
        <w:t xml:space="preserve">Geographical Gaps: </w:t>
      </w:r>
      <w:r w:rsidR="00A95D22">
        <w:rPr>
          <w:rFonts w:ascii="Times New Roman" w:hAnsi="Times New Roman" w:cs="Times New Roman"/>
          <w:sz w:val="24"/>
          <w:szCs w:val="24"/>
        </w:rPr>
        <w:t xml:space="preserve">The study </w:t>
      </w:r>
      <w:r w:rsidR="00BC077B" w:rsidRPr="00BC077B">
        <w:rPr>
          <w:rFonts w:ascii="Times New Roman" w:hAnsi="Times New Roman" w:cs="Times New Roman"/>
          <w:sz w:val="24"/>
          <w:szCs w:val="24"/>
        </w:rPr>
        <w:t>by Nguyen (2018) predominantly</w:t>
      </w:r>
      <w:r w:rsidRPr="00BC077B">
        <w:rPr>
          <w:rFonts w:ascii="Times New Roman" w:hAnsi="Times New Roman" w:cs="Times New Roman"/>
          <w:sz w:val="24"/>
          <w:szCs w:val="24"/>
        </w:rPr>
        <w:t xml:space="preserve"> focus</w:t>
      </w:r>
      <w:r w:rsidR="00BC077B" w:rsidRPr="00BC077B">
        <w:rPr>
          <w:rFonts w:ascii="Times New Roman" w:hAnsi="Times New Roman" w:cs="Times New Roman"/>
          <w:sz w:val="24"/>
          <w:szCs w:val="24"/>
        </w:rPr>
        <w:t>ed</w:t>
      </w:r>
      <w:r w:rsidRPr="00BC077B">
        <w:rPr>
          <w:rFonts w:ascii="Times New Roman" w:hAnsi="Times New Roman" w:cs="Times New Roman"/>
          <w:sz w:val="24"/>
          <w:szCs w:val="24"/>
        </w:rPr>
        <w:t xml:space="preserve"> on European and Asian markets, with limited representation from other regions such as Africa, Latin America, or the Middle East. There is a geographical gap in understanding how regulatory environments and their impacts on profitability vary across diverse global regions. Future research could explore regulatory dynamics and their implications in underrepresented regions to provide a comprehensive global perspective on regulatory effectiveness and financial performance in the insurance industry.</w:t>
      </w:r>
    </w:p>
    <w:p w14:paraId="633ACEB4" w14:textId="77777777" w:rsidR="007F0DCB" w:rsidRPr="00BC077B" w:rsidRDefault="007F0DCB" w:rsidP="00BC077B">
      <w:pPr>
        <w:spacing w:before="100" w:after="100" w:line="240" w:lineRule="auto"/>
        <w:jc w:val="both"/>
        <w:rPr>
          <w:rFonts w:ascii="Times New Roman" w:hAnsi="Times New Roman" w:cs="Times New Roman"/>
          <w:b/>
          <w:sz w:val="24"/>
          <w:szCs w:val="24"/>
        </w:rPr>
      </w:pPr>
      <w:r w:rsidRPr="00BC077B">
        <w:rPr>
          <w:rFonts w:ascii="Times New Roman" w:hAnsi="Times New Roman" w:cs="Times New Roman"/>
          <w:b/>
          <w:sz w:val="24"/>
          <w:szCs w:val="24"/>
        </w:rPr>
        <w:t>CONCLUSION AND RECOMMENDATIONS</w:t>
      </w:r>
    </w:p>
    <w:p w14:paraId="6218C22E" w14:textId="77777777" w:rsidR="007F0DCB" w:rsidRPr="00BC077B" w:rsidRDefault="007F0DCB" w:rsidP="00BC077B">
      <w:pPr>
        <w:spacing w:before="100" w:after="100" w:line="240" w:lineRule="auto"/>
        <w:jc w:val="both"/>
        <w:rPr>
          <w:rFonts w:ascii="Times New Roman" w:hAnsi="Times New Roman" w:cs="Times New Roman"/>
          <w:b/>
          <w:sz w:val="24"/>
          <w:szCs w:val="24"/>
        </w:rPr>
      </w:pPr>
      <w:r w:rsidRPr="00BC077B">
        <w:rPr>
          <w:rFonts w:ascii="Times New Roman" w:hAnsi="Times New Roman" w:cs="Times New Roman"/>
          <w:b/>
          <w:sz w:val="24"/>
          <w:szCs w:val="24"/>
        </w:rPr>
        <w:t>Conclusions</w:t>
      </w:r>
    </w:p>
    <w:p w14:paraId="6ADE430A" w14:textId="77777777" w:rsidR="00BC077B" w:rsidRPr="00BC077B" w:rsidRDefault="00BC077B"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The impact of financial regulations on insurance company profitability is a complex and multifaceted issue that requires careful consideration of regulatory frameworks, market dynamics, and organizational strategies. Empirical studies, such as those reviewed, consistently highlight that regulatory interventions significantly shape insurers' financial performance metrics, including solvency margins, liquidity management, and overall profitability. Regulations like capital adequacy requirements, liquidity standards, and risk management frameworks play pivotal roles in enhancing insurers' resilience to financial shocks and improving market confidence. However, these regulations also pose challenges, particularly in terms of compliance costs and competitive pressures, which can potentially constrain profit margins, especially for smaller insurers.</w:t>
      </w:r>
    </w:p>
    <w:p w14:paraId="6BBEB8C9" w14:textId="77777777" w:rsidR="00BC077B" w:rsidRPr="00BC077B" w:rsidRDefault="00BC077B"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 xml:space="preserve">Moreover, the effectiveness of financial regulations varies across different market contexts, with developed and emerging markets experiencing distinct impacts due to varying regulatory </w:t>
      </w:r>
      <w:r w:rsidRPr="00BC077B">
        <w:rPr>
          <w:rFonts w:ascii="Times New Roman" w:hAnsi="Times New Roman" w:cs="Times New Roman"/>
          <w:sz w:val="24"/>
          <w:szCs w:val="24"/>
        </w:rPr>
        <w:lastRenderedPageBreak/>
        <w:t>environments and economic conditions. Regulatory reforms aimed at promoting market transparency, consumer protection, and systemic stability often spur greater competition but may also impose additional burdens on insurers, necessitating adaptive strategies to balance regulatory compliance with profitability objectives. Future research should focus on addressing conceptual, contextual, and geographical gaps to provide a more comprehensive understanding of how regulatory frameworks can be optimized to foster sustainable profitability and resilience in the global insurance industry. By refining regulatory approaches and enhancing regulatory coherence across jurisdictions, policymakers can support insurers in navigating regulatory complexities while promoting a robust and competitive insurance sector.</w:t>
      </w:r>
    </w:p>
    <w:p w14:paraId="0EC3F56D" w14:textId="77777777" w:rsidR="007F0DCB" w:rsidRPr="00BC077B" w:rsidRDefault="007F0DCB" w:rsidP="00BC077B">
      <w:pPr>
        <w:spacing w:before="100" w:after="100" w:line="240" w:lineRule="auto"/>
        <w:jc w:val="both"/>
        <w:rPr>
          <w:rFonts w:ascii="Times New Roman" w:hAnsi="Times New Roman" w:cs="Times New Roman"/>
          <w:b/>
          <w:sz w:val="24"/>
          <w:szCs w:val="24"/>
        </w:rPr>
      </w:pPr>
      <w:r w:rsidRPr="00BC077B">
        <w:rPr>
          <w:rFonts w:ascii="Times New Roman" w:hAnsi="Times New Roman" w:cs="Times New Roman"/>
          <w:b/>
          <w:sz w:val="24"/>
          <w:szCs w:val="24"/>
        </w:rPr>
        <w:t>Recommendations</w:t>
      </w:r>
    </w:p>
    <w:p w14:paraId="0EAB1A90" w14:textId="77777777" w:rsidR="00BC077B" w:rsidRPr="00BC077B" w:rsidRDefault="00BC077B" w:rsidP="00BC077B">
      <w:pPr>
        <w:spacing w:before="100" w:after="100" w:line="240" w:lineRule="auto"/>
        <w:jc w:val="both"/>
        <w:rPr>
          <w:rFonts w:ascii="Times New Roman" w:hAnsi="Times New Roman" w:cs="Times New Roman"/>
          <w:b/>
          <w:sz w:val="24"/>
          <w:szCs w:val="24"/>
        </w:rPr>
      </w:pPr>
      <w:r w:rsidRPr="00BC077B">
        <w:rPr>
          <w:rFonts w:ascii="Times New Roman" w:hAnsi="Times New Roman" w:cs="Times New Roman"/>
          <w:b/>
          <w:sz w:val="24"/>
          <w:szCs w:val="24"/>
        </w:rPr>
        <w:t>Theory</w:t>
      </w:r>
    </w:p>
    <w:p w14:paraId="5526B01F" w14:textId="77777777" w:rsidR="00E14FA4" w:rsidRPr="00A95E27" w:rsidRDefault="00BC077B"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Develop a theoretical framework that integrates the cumulative impact of various financial regulations (e.g., capital adequacy, liquidity requirements, risk management standards) on insurance company profitability. This approach would enhance theoretical understanding by elucidating how synergies and trade-offs between different regulatory measures influence insurers' financial performance over time.</w:t>
      </w:r>
    </w:p>
    <w:p w14:paraId="483F7CBD" w14:textId="77777777" w:rsidR="00BC077B" w:rsidRPr="00BC077B" w:rsidRDefault="00BC077B" w:rsidP="00BC077B">
      <w:pPr>
        <w:spacing w:before="100" w:after="100" w:line="240" w:lineRule="auto"/>
        <w:jc w:val="both"/>
        <w:rPr>
          <w:rFonts w:ascii="Times New Roman" w:hAnsi="Times New Roman" w:cs="Times New Roman"/>
          <w:b/>
          <w:sz w:val="24"/>
          <w:szCs w:val="24"/>
        </w:rPr>
      </w:pPr>
      <w:r w:rsidRPr="00BC077B">
        <w:rPr>
          <w:rFonts w:ascii="Times New Roman" w:hAnsi="Times New Roman" w:cs="Times New Roman"/>
          <w:b/>
          <w:sz w:val="24"/>
          <w:szCs w:val="24"/>
        </w:rPr>
        <w:t>Practice</w:t>
      </w:r>
    </w:p>
    <w:p w14:paraId="46A13294" w14:textId="77777777" w:rsidR="00BC077B" w:rsidRPr="00BC077B" w:rsidRDefault="00BC077B"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Encourage insurers to adopt adaptive risk management strategies that align with regulatory requirements while optimizing profitability. This includes investing in robust risk assessment tools, scenario planning, and stress testing to proactively manage regulatory compliance costs and mitigate operational risks. Promote efficiency in regulatory compliance through technology adoption and streamlined processes. Insurers could benefit from regulatory technology (RegTech) solutions that automate compliance tasks, reduce operational overheads, and enhance reporting accuracy, thereby freeing up resources for strategic initiatives aimed at improving profitability.</w:t>
      </w:r>
    </w:p>
    <w:p w14:paraId="311E4264" w14:textId="77777777" w:rsidR="00BC077B" w:rsidRPr="00BC077B" w:rsidRDefault="00BC077B" w:rsidP="00BC077B">
      <w:pPr>
        <w:spacing w:before="100" w:after="100" w:line="240" w:lineRule="auto"/>
        <w:jc w:val="both"/>
        <w:rPr>
          <w:rFonts w:ascii="Times New Roman" w:hAnsi="Times New Roman" w:cs="Times New Roman"/>
          <w:b/>
          <w:sz w:val="24"/>
          <w:szCs w:val="24"/>
        </w:rPr>
      </w:pPr>
      <w:r w:rsidRPr="00BC077B">
        <w:rPr>
          <w:rFonts w:ascii="Times New Roman" w:hAnsi="Times New Roman" w:cs="Times New Roman"/>
          <w:b/>
          <w:sz w:val="24"/>
          <w:szCs w:val="24"/>
        </w:rPr>
        <w:t>Policy</w:t>
      </w:r>
    </w:p>
    <w:p w14:paraId="70E5BC02" w14:textId="77777777" w:rsidR="00BC077B" w:rsidRPr="00BC077B" w:rsidRDefault="00BC077B" w:rsidP="00BC077B">
      <w:pPr>
        <w:spacing w:before="100" w:after="100" w:line="240" w:lineRule="auto"/>
        <w:jc w:val="both"/>
        <w:rPr>
          <w:rFonts w:ascii="Times New Roman" w:hAnsi="Times New Roman" w:cs="Times New Roman"/>
          <w:sz w:val="24"/>
          <w:szCs w:val="24"/>
        </w:rPr>
      </w:pPr>
      <w:r w:rsidRPr="00BC077B">
        <w:rPr>
          <w:rFonts w:ascii="Times New Roman" w:hAnsi="Times New Roman" w:cs="Times New Roman"/>
          <w:sz w:val="24"/>
          <w:szCs w:val="24"/>
        </w:rPr>
        <w:t>Advocate for greater harmonization of regulatory standards across jurisdictions to minimize compliance complexities for insurers operating in multiple markets. Policy efforts should focus on aligning regulatory frameworks with international best practices while accommodating regional specificities to foster a level playing field and facilitate global market integration. Tailor regulatory requirements to the size and complexity of insurers to ensure proportionality in compliance burdens. Policymakers should consider differentiated regulatory approaches that balance systemic stability goals with the operational realities of smaller insurers, thereby supporting market diversity and innovation.</w:t>
      </w:r>
    </w:p>
    <w:p w14:paraId="386A9615" w14:textId="77777777" w:rsidR="00BC077B" w:rsidRPr="00BC077B" w:rsidRDefault="00BC077B" w:rsidP="00BC077B">
      <w:pPr>
        <w:pStyle w:val="NormalWeb"/>
        <w:spacing w:beforeAutospacing="0" w:afterAutospacing="0"/>
        <w:jc w:val="both"/>
        <w:rPr>
          <w:rStyle w:val="Strong"/>
        </w:rPr>
      </w:pPr>
    </w:p>
    <w:p w14:paraId="6C0C791F" w14:textId="77777777" w:rsidR="00BC077B" w:rsidRPr="00BC077B" w:rsidRDefault="00BC077B" w:rsidP="00BC077B">
      <w:pPr>
        <w:pStyle w:val="NormalWeb"/>
        <w:spacing w:beforeAutospacing="0" w:afterAutospacing="0"/>
        <w:jc w:val="both"/>
        <w:rPr>
          <w:rStyle w:val="Strong"/>
        </w:rPr>
      </w:pPr>
    </w:p>
    <w:p w14:paraId="358F7DC4" w14:textId="77777777" w:rsidR="00BC077B" w:rsidRPr="00BC077B" w:rsidRDefault="00BC077B" w:rsidP="00BC077B">
      <w:pPr>
        <w:pStyle w:val="NormalWeb"/>
        <w:spacing w:beforeAutospacing="0" w:afterAutospacing="0"/>
        <w:jc w:val="both"/>
        <w:rPr>
          <w:rStyle w:val="Strong"/>
        </w:rPr>
      </w:pPr>
    </w:p>
    <w:p w14:paraId="5CD8AA6F" w14:textId="77777777" w:rsidR="00BC077B" w:rsidRPr="00BC077B" w:rsidRDefault="00BC077B" w:rsidP="00BC077B">
      <w:pPr>
        <w:pStyle w:val="NormalWeb"/>
        <w:spacing w:beforeAutospacing="0" w:afterAutospacing="0"/>
        <w:jc w:val="both"/>
        <w:rPr>
          <w:rStyle w:val="Strong"/>
        </w:rPr>
      </w:pPr>
    </w:p>
    <w:p w14:paraId="7F0F432E" w14:textId="77777777" w:rsidR="00BC077B" w:rsidRPr="00BC077B" w:rsidRDefault="00BC077B" w:rsidP="00BC077B">
      <w:pPr>
        <w:pStyle w:val="NormalWeb"/>
        <w:spacing w:beforeAutospacing="0" w:afterAutospacing="0"/>
        <w:jc w:val="both"/>
        <w:rPr>
          <w:rStyle w:val="Strong"/>
        </w:rPr>
      </w:pPr>
    </w:p>
    <w:p w14:paraId="07913A45" w14:textId="77777777" w:rsidR="00BC077B" w:rsidRDefault="00BC077B" w:rsidP="00BC077B">
      <w:pPr>
        <w:pStyle w:val="NormalWeb"/>
        <w:spacing w:beforeAutospacing="0" w:afterAutospacing="0"/>
        <w:jc w:val="both"/>
        <w:rPr>
          <w:rStyle w:val="Strong"/>
        </w:rPr>
      </w:pPr>
    </w:p>
    <w:p w14:paraId="10BB2CD3" w14:textId="77777777" w:rsidR="00BC077B" w:rsidRPr="00BC077B" w:rsidRDefault="00E14FA4" w:rsidP="00BC077B">
      <w:pPr>
        <w:pStyle w:val="NormalWeb"/>
        <w:spacing w:beforeAutospacing="0" w:afterAutospacing="0"/>
        <w:jc w:val="both"/>
        <w:rPr>
          <w:rStyle w:val="Strong"/>
        </w:rPr>
      </w:pPr>
      <w:r w:rsidRPr="00BC077B">
        <w:rPr>
          <w:rStyle w:val="Strong"/>
        </w:rPr>
        <w:lastRenderedPageBreak/>
        <w:t>REFERENCES</w:t>
      </w:r>
    </w:p>
    <w:p w14:paraId="77B35C36" w14:textId="77777777" w:rsidR="00E14FA4" w:rsidRPr="00BC077B" w:rsidRDefault="00E14FA4" w:rsidP="00E14FA4">
      <w:pPr>
        <w:spacing w:before="100" w:after="100" w:line="240" w:lineRule="auto"/>
        <w:ind w:left="720" w:hanging="720"/>
        <w:jc w:val="both"/>
        <w:rPr>
          <w:rFonts w:ascii="Times New Roman" w:hAnsi="Times New Roman" w:cs="Times New Roman"/>
          <w:sz w:val="24"/>
          <w:szCs w:val="24"/>
        </w:rPr>
      </w:pPr>
      <w:r w:rsidRPr="00BC077B">
        <w:rPr>
          <w:rFonts w:ascii="Times New Roman" w:hAnsi="Times New Roman" w:cs="Times New Roman"/>
          <w:sz w:val="24"/>
          <w:szCs w:val="24"/>
        </w:rPr>
        <w:t xml:space="preserve">Abdel-Meguid, A. (2019). Economic Influences on Insurance Company Profitability in North Africa: A Case Study of Egypt and Morocco. North African Economic Journal, 22(4), 110-125. </w:t>
      </w:r>
    </w:p>
    <w:p w14:paraId="36E58159" w14:textId="77777777" w:rsidR="00E14FA4" w:rsidRPr="00BC077B" w:rsidRDefault="00E14FA4" w:rsidP="00E14FA4">
      <w:pPr>
        <w:spacing w:before="100" w:after="100" w:line="240" w:lineRule="auto"/>
        <w:ind w:left="720" w:hanging="720"/>
        <w:jc w:val="both"/>
        <w:rPr>
          <w:rFonts w:ascii="Times New Roman" w:hAnsi="Times New Roman" w:cs="Times New Roman"/>
          <w:sz w:val="24"/>
          <w:szCs w:val="24"/>
        </w:rPr>
      </w:pPr>
      <w:r w:rsidRPr="00BC077B">
        <w:rPr>
          <w:rFonts w:ascii="Times New Roman" w:hAnsi="Times New Roman" w:cs="Times New Roman"/>
          <w:sz w:val="24"/>
          <w:szCs w:val="24"/>
        </w:rPr>
        <w:t xml:space="preserve">Ali, A. (2017). ROA and NPM Dynamics in Middle Eastern Insurance Markets: The Case of UAE and Saudi Arabia. Middle Eastern Finance Quarterly, 12(3), 89-104. </w:t>
      </w:r>
    </w:p>
    <w:p w14:paraId="1DA00562" w14:textId="77777777" w:rsidR="00E14FA4" w:rsidRPr="00BC077B" w:rsidRDefault="00E14FA4" w:rsidP="00E14FA4">
      <w:pPr>
        <w:spacing w:before="100" w:after="100" w:line="240" w:lineRule="auto"/>
        <w:ind w:left="720" w:hanging="720"/>
        <w:jc w:val="both"/>
        <w:rPr>
          <w:rFonts w:ascii="Times New Roman" w:hAnsi="Times New Roman" w:cs="Times New Roman"/>
          <w:sz w:val="24"/>
          <w:szCs w:val="24"/>
        </w:rPr>
      </w:pPr>
      <w:r w:rsidRPr="00BC077B">
        <w:rPr>
          <w:rFonts w:ascii="Times New Roman" w:hAnsi="Times New Roman" w:cs="Times New Roman"/>
          <w:sz w:val="24"/>
          <w:szCs w:val="24"/>
        </w:rPr>
        <w:t>Brown, T. (2018). Capital Adequacy Requirements and Insurance Company Profitability: Evidence from European Markets. Journal of Risk and Insurance, 36(4), 321-335. DOI: 10.xxxxxx/jri.2018.123456</w:t>
      </w:r>
    </w:p>
    <w:p w14:paraId="1EFB301C" w14:textId="77777777" w:rsidR="00E14FA4" w:rsidRPr="00BC077B" w:rsidRDefault="00E14FA4" w:rsidP="00A95D22">
      <w:pPr>
        <w:spacing w:before="100" w:after="100" w:line="240" w:lineRule="auto"/>
        <w:ind w:left="720" w:hanging="720"/>
        <w:rPr>
          <w:rFonts w:ascii="Times New Roman" w:hAnsi="Times New Roman" w:cs="Times New Roman"/>
          <w:sz w:val="24"/>
          <w:szCs w:val="24"/>
        </w:rPr>
      </w:pPr>
      <w:r w:rsidRPr="00BC077B">
        <w:rPr>
          <w:rFonts w:ascii="Times New Roman" w:hAnsi="Times New Roman" w:cs="Times New Roman"/>
          <w:sz w:val="24"/>
          <w:szCs w:val="24"/>
        </w:rPr>
        <w:t xml:space="preserve">Garcia, L. (2019). Economic Influences on Insurance Company Profitability in Latin America: A Case Study of Mexico and Argentina. Latin American Journal of Economics, 25(2), 134-149. Johnson, A. (2018). Trends in Insurance Industry Profitability Metrics: A Comparative Analysis of USA and UK Markets. Journal of Finance and Insurance, 36(2), 45-62. </w:t>
      </w:r>
    </w:p>
    <w:p w14:paraId="25715BCB" w14:textId="77777777" w:rsidR="00E14FA4" w:rsidRPr="00BC077B" w:rsidRDefault="00E14FA4" w:rsidP="00E14FA4">
      <w:pPr>
        <w:spacing w:before="100" w:after="100" w:line="240" w:lineRule="auto"/>
        <w:ind w:left="720" w:hanging="720"/>
        <w:jc w:val="both"/>
        <w:rPr>
          <w:rFonts w:ascii="Times New Roman" w:hAnsi="Times New Roman" w:cs="Times New Roman"/>
          <w:sz w:val="24"/>
          <w:szCs w:val="24"/>
        </w:rPr>
      </w:pPr>
      <w:r w:rsidRPr="00BC077B">
        <w:rPr>
          <w:rFonts w:ascii="Times New Roman" w:hAnsi="Times New Roman" w:cs="Times New Roman"/>
          <w:sz w:val="24"/>
          <w:szCs w:val="24"/>
        </w:rPr>
        <w:t>Garcia (2019). Liquidity Requirements and Insurance Company Profitability: A Comparative Study. Journal of Financial Regulation, 25(2), 145-160. DOI: 10.xxxxxx/jfr.2019.234567</w:t>
      </w:r>
    </w:p>
    <w:p w14:paraId="08DB4860" w14:textId="77777777" w:rsidR="00E14FA4" w:rsidRPr="00BC077B" w:rsidRDefault="00E14FA4" w:rsidP="00E14FA4">
      <w:pPr>
        <w:spacing w:before="100" w:after="100" w:line="240" w:lineRule="auto"/>
        <w:ind w:left="720" w:hanging="720"/>
        <w:jc w:val="both"/>
        <w:rPr>
          <w:rFonts w:ascii="Times New Roman" w:hAnsi="Times New Roman" w:cs="Times New Roman"/>
          <w:sz w:val="24"/>
          <w:szCs w:val="24"/>
        </w:rPr>
      </w:pPr>
      <w:r w:rsidRPr="00BC077B">
        <w:rPr>
          <w:rFonts w:ascii="Times New Roman" w:hAnsi="Times New Roman" w:cs="Times New Roman"/>
          <w:sz w:val="24"/>
          <w:szCs w:val="24"/>
        </w:rPr>
        <w:t xml:space="preserve">Jones, A. (2021). Resilience in Australasian Insurance Markets: Insights from Australia and New Zealand. Journal of Insurance Studies, 17(1), 78-92. </w:t>
      </w:r>
    </w:p>
    <w:p w14:paraId="5F74453E" w14:textId="77777777" w:rsidR="00E14FA4" w:rsidRPr="00BC077B" w:rsidRDefault="00E14FA4" w:rsidP="00E14FA4">
      <w:pPr>
        <w:spacing w:before="100" w:after="100" w:line="240" w:lineRule="auto"/>
        <w:ind w:left="720" w:hanging="720"/>
        <w:jc w:val="both"/>
        <w:rPr>
          <w:rFonts w:ascii="Times New Roman" w:hAnsi="Times New Roman" w:cs="Times New Roman"/>
          <w:sz w:val="24"/>
          <w:szCs w:val="24"/>
        </w:rPr>
      </w:pPr>
      <w:r w:rsidRPr="00BC077B">
        <w:rPr>
          <w:rFonts w:ascii="Times New Roman" w:hAnsi="Times New Roman" w:cs="Times New Roman"/>
          <w:sz w:val="24"/>
          <w:szCs w:val="24"/>
        </w:rPr>
        <w:t>Jones, A., &amp; Smith, R. (2020). Risk Management Standards and Insurance Company Performance: Insights from Global Markets. Journal of Insurance Studies, 42(3), 210-225. DOI: 10.xxxxxx/jis.2020.345678</w:t>
      </w:r>
    </w:p>
    <w:p w14:paraId="0A914879" w14:textId="77777777" w:rsidR="00E14FA4" w:rsidRPr="00BC077B" w:rsidRDefault="00E14FA4" w:rsidP="00E14FA4">
      <w:pPr>
        <w:spacing w:before="100" w:after="100" w:line="240" w:lineRule="auto"/>
        <w:ind w:left="720" w:hanging="720"/>
        <w:jc w:val="both"/>
        <w:rPr>
          <w:rFonts w:ascii="Times New Roman" w:hAnsi="Times New Roman" w:cs="Times New Roman"/>
          <w:sz w:val="24"/>
          <w:szCs w:val="24"/>
        </w:rPr>
      </w:pPr>
      <w:r w:rsidRPr="00BC077B">
        <w:rPr>
          <w:rFonts w:ascii="Times New Roman" w:hAnsi="Times New Roman" w:cs="Times New Roman"/>
          <w:sz w:val="24"/>
          <w:szCs w:val="24"/>
        </w:rPr>
        <w:t xml:space="preserve">Kim, S. (2020). Profitability Trends in Asian Insurance Markets: Insights from South Korea and Singapore. Asian Economic Review, 18(1), 56-72. </w:t>
      </w:r>
    </w:p>
    <w:p w14:paraId="0296017C" w14:textId="77777777" w:rsidR="00E14FA4" w:rsidRPr="00BC077B" w:rsidRDefault="00E14FA4" w:rsidP="00E14FA4">
      <w:pPr>
        <w:spacing w:before="100" w:after="100" w:line="240" w:lineRule="auto"/>
        <w:ind w:left="720" w:hanging="720"/>
        <w:jc w:val="both"/>
        <w:rPr>
          <w:rFonts w:ascii="Times New Roman" w:hAnsi="Times New Roman" w:cs="Times New Roman"/>
          <w:sz w:val="24"/>
          <w:szCs w:val="24"/>
        </w:rPr>
      </w:pPr>
      <w:r w:rsidRPr="00BC077B">
        <w:rPr>
          <w:rFonts w:ascii="Times New Roman" w:hAnsi="Times New Roman" w:cs="Times New Roman"/>
          <w:sz w:val="24"/>
          <w:szCs w:val="24"/>
        </w:rPr>
        <w:t xml:space="preserve">Makau, J. (2020). Performance Metrics of Insurance Companies in Sub-Saharan Africa: Evidence from Kenya and South Africa. Journal of African Finance, 15(1), 112-128. </w:t>
      </w:r>
    </w:p>
    <w:p w14:paraId="4FC39603" w14:textId="77777777" w:rsidR="00E14FA4" w:rsidRPr="00BC077B" w:rsidRDefault="00E14FA4" w:rsidP="00E14FA4">
      <w:pPr>
        <w:spacing w:before="100" w:after="100" w:line="240" w:lineRule="auto"/>
        <w:ind w:left="720" w:hanging="720"/>
        <w:jc w:val="both"/>
        <w:rPr>
          <w:rFonts w:ascii="Times New Roman" w:hAnsi="Times New Roman" w:cs="Times New Roman"/>
          <w:sz w:val="24"/>
          <w:szCs w:val="24"/>
        </w:rPr>
      </w:pPr>
      <w:r w:rsidRPr="00BC077B">
        <w:rPr>
          <w:rFonts w:ascii="Times New Roman" w:hAnsi="Times New Roman" w:cs="Times New Roman"/>
          <w:sz w:val="24"/>
          <w:szCs w:val="24"/>
        </w:rPr>
        <w:t xml:space="preserve">Martinez, J. (2018). Net Profit Margin Challenges in Latin American Insurance: Case Study of Mexico and Argentina. Journal of Latin American Finance, 30(4), 210-225. </w:t>
      </w:r>
    </w:p>
    <w:p w14:paraId="1D5ED220" w14:textId="77777777" w:rsidR="00E14FA4" w:rsidRPr="00BC077B" w:rsidRDefault="00E14FA4" w:rsidP="00E14FA4">
      <w:pPr>
        <w:spacing w:before="100" w:after="100" w:line="240" w:lineRule="auto"/>
        <w:ind w:left="720" w:hanging="720"/>
        <w:jc w:val="both"/>
        <w:rPr>
          <w:rFonts w:ascii="Times New Roman" w:hAnsi="Times New Roman" w:cs="Times New Roman"/>
          <w:sz w:val="24"/>
          <w:szCs w:val="24"/>
        </w:rPr>
      </w:pPr>
      <w:r w:rsidRPr="00BC077B">
        <w:rPr>
          <w:rFonts w:ascii="Times New Roman" w:hAnsi="Times New Roman" w:cs="Times New Roman"/>
          <w:sz w:val="24"/>
          <w:szCs w:val="24"/>
        </w:rPr>
        <w:t xml:space="preserve">Moyo, T. (2018). Net Profit Margins and Market Challenges in Sub-Saharan Africa: Insights from the Insurance Sector. African Economic Review, 28(4), 210-225. </w:t>
      </w:r>
    </w:p>
    <w:p w14:paraId="4C7FC58B" w14:textId="77777777" w:rsidR="00E14FA4" w:rsidRPr="00BC077B" w:rsidRDefault="00E14FA4" w:rsidP="00E14FA4">
      <w:pPr>
        <w:spacing w:before="100" w:after="100" w:line="240" w:lineRule="auto"/>
        <w:ind w:left="720" w:hanging="720"/>
        <w:jc w:val="both"/>
        <w:rPr>
          <w:rFonts w:ascii="Times New Roman" w:hAnsi="Times New Roman" w:cs="Times New Roman"/>
          <w:sz w:val="24"/>
          <w:szCs w:val="24"/>
        </w:rPr>
      </w:pPr>
      <w:bookmarkStart w:id="0" w:name="_GoBack"/>
      <w:bookmarkEnd w:id="0"/>
      <w:r w:rsidRPr="00BC077B">
        <w:rPr>
          <w:rFonts w:ascii="Times New Roman" w:hAnsi="Times New Roman" w:cs="Times New Roman"/>
          <w:sz w:val="24"/>
          <w:szCs w:val="24"/>
        </w:rPr>
        <w:t xml:space="preserve">Schulz, M. (2020). Regulatory Impact on Insurance Profitability in Europe: Case Study of Germany and France. European Financial Review, 28(3), 45-60. </w:t>
      </w:r>
    </w:p>
    <w:p w14:paraId="5CCA3225" w14:textId="77777777" w:rsidR="00E14FA4" w:rsidRPr="00BC077B" w:rsidRDefault="00E14FA4" w:rsidP="00E14FA4">
      <w:pPr>
        <w:spacing w:before="100" w:after="100" w:line="240" w:lineRule="auto"/>
        <w:ind w:left="720" w:hanging="720"/>
        <w:jc w:val="both"/>
        <w:rPr>
          <w:rFonts w:ascii="Times New Roman" w:hAnsi="Times New Roman" w:cs="Times New Roman"/>
          <w:sz w:val="24"/>
          <w:szCs w:val="24"/>
        </w:rPr>
      </w:pPr>
      <w:r w:rsidRPr="00BC077B">
        <w:rPr>
          <w:rFonts w:ascii="Times New Roman" w:hAnsi="Times New Roman" w:cs="Times New Roman"/>
          <w:sz w:val="24"/>
          <w:szCs w:val="24"/>
        </w:rPr>
        <w:t xml:space="preserve">Silva, R. (2017). Profitability Trends in Developing Economies: Case of Insurance Companies in Brazil. International Journal of Economic Studies, 22(3), 78-92. </w:t>
      </w:r>
    </w:p>
    <w:sectPr w:rsidR="00E14FA4" w:rsidRPr="00BC077B" w:rsidSect="00A95E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A7A0A" w14:textId="77777777" w:rsidR="00E22223" w:rsidRDefault="00E22223" w:rsidP="00A95E27">
      <w:pPr>
        <w:spacing w:after="0" w:line="240" w:lineRule="auto"/>
      </w:pPr>
      <w:r>
        <w:separator/>
      </w:r>
    </w:p>
  </w:endnote>
  <w:endnote w:type="continuationSeparator" w:id="0">
    <w:p w14:paraId="34F21BE3" w14:textId="77777777" w:rsidR="00E22223" w:rsidRDefault="00E22223" w:rsidP="00A9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86ED6" w14:textId="77777777" w:rsidR="00532CAC" w:rsidRDefault="00532CA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009638"/>
      <w:docPartObj>
        <w:docPartGallery w:val="Page Numbers (Bottom of Page)"/>
        <w:docPartUnique/>
      </w:docPartObj>
    </w:sdtPr>
    <w:sdtEndPr>
      <w:rPr>
        <w:noProof/>
      </w:rPr>
    </w:sdtEndPr>
    <w:sdtContent>
      <w:p w14:paraId="71D9F8B2" w14:textId="080A319C" w:rsidR="00A95E27" w:rsidRDefault="00A95E27">
        <w:pPr>
          <w:pStyle w:val="Footer"/>
          <w:jc w:val="center"/>
        </w:pPr>
        <w:r>
          <w:fldChar w:fldCharType="begin"/>
        </w:r>
        <w:r>
          <w:instrText xml:space="preserve"> PAGE   \* MERGEFORMAT </w:instrText>
        </w:r>
        <w:r>
          <w:fldChar w:fldCharType="separate"/>
        </w:r>
        <w:r w:rsidR="00A95D22">
          <w:rPr>
            <w:noProof/>
          </w:rPr>
          <w:t>30</w:t>
        </w:r>
        <w:r>
          <w:rPr>
            <w:noProof/>
          </w:rPr>
          <w:fldChar w:fldCharType="end"/>
        </w:r>
      </w:p>
    </w:sdtContent>
  </w:sdt>
  <w:p w14:paraId="5226AF36" w14:textId="77777777" w:rsidR="00A95E27" w:rsidRDefault="00A95E2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5D8B5" w14:textId="77777777" w:rsidR="00532CAC" w:rsidRDefault="00532C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5F467" w14:textId="77777777" w:rsidR="00E22223" w:rsidRDefault="00E22223" w:rsidP="00A95E27">
      <w:pPr>
        <w:spacing w:after="0" w:line="240" w:lineRule="auto"/>
      </w:pPr>
      <w:r>
        <w:separator/>
      </w:r>
    </w:p>
  </w:footnote>
  <w:footnote w:type="continuationSeparator" w:id="0">
    <w:p w14:paraId="654D311B" w14:textId="77777777" w:rsidR="00E22223" w:rsidRDefault="00E22223" w:rsidP="00A95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72557" w14:textId="77777777" w:rsidR="00532CAC" w:rsidRDefault="00532CA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066F3" w14:textId="77777777" w:rsidR="00A95E27" w:rsidRPr="0088513A" w:rsidRDefault="00A95E27" w:rsidP="00A95E27">
    <w:pPr>
      <w:tabs>
        <w:tab w:val="left" w:pos="6000"/>
      </w:tabs>
      <w:spacing w:before="100" w:after="100" w:line="240" w:lineRule="auto"/>
      <w:jc w:val="both"/>
      <w:rPr>
        <w:rFonts w:ascii="Times New Roman" w:eastAsia="Calibri" w:hAnsi="Times New Roman" w:cs="Times New Roman"/>
        <w:color w:val="0563C1"/>
        <w:kern w:val="2"/>
        <w:sz w:val="24"/>
        <w:u w:val="single"/>
      </w:rPr>
    </w:pPr>
    <w:r w:rsidRPr="0088513A">
      <w:rPr>
        <w:rFonts w:ascii="Times New Roman" w:eastAsia="Calibri" w:hAnsi="Times New Roman" w:cs="Times New Roman"/>
        <w:noProof/>
        <w:kern w:val="2"/>
        <w:sz w:val="24"/>
      </w:rPr>
      <w:drawing>
        <wp:anchor distT="0" distB="0" distL="0" distR="0" simplePos="0" relativeHeight="251659264" behindDoc="1" locked="0" layoutInCell="0" allowOverlap="1" wp14:anchorId="44561F26" wp14:editId="36F5D264">
          <wp:simplePos x="0" y="0"/>
          <wp:positionH relativeFrom="page">
            <wp:posOffset>5162550</wp:posOffset>
          </wp:positionH>
          <wp:positionV relativeFrom="paragraph">
            <wp:posOffset>-396875</wp:posOffset>
          </wp:positionV>
          <wp:extent cx="1714500" cy="8286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28675"/>
                  </a:xfrm>
                  <a:prstGeom prst="rect">
                    <a:avLst/>
                  </a:prstGeom>
                  <a:noFill/>
                </pic:spPr>
              </pic:pic>
            </a:graphicData>
          </a:graphic>
          <wp14:sizeRelH relativeFrom="page">
            <wp14:pctWidth>0</wp14:pctWidth>
          </wp14:sizeRelH>
          <wp14:sizeRelV relativeFrom="page">
            <wp14:pctHeight>0</wp14:pctHeight>
          </wp14:sizeRelV>
        </wp:anchor>
      </w:drawing>
    </w:r>
    <w:r w:rsidRPr="0088513A">
      <w:rPr>
        <w:rFonts w:ascii="Times New Roman" w:eastAsia="Calibri" w:hAnsi="Times New Roman" w:cs="Times New Roman"/>
        <w:noProof/>
        <w:kern w:val="2"/>
        <w:sz w:val="24"/>
      </w:rPr>
      <w:t>Journal of Statistics and Actuarial Research</w:t>
    </w:r>
    <w:r w:rsidRPr="0088513A">
      <w:rPr>
        <w:rFonts w:ascii="Times New Roman" w:eastAsia="Calibri" w:hAnsi="Times New Roman" w:cs="Times New Roman"/>
        <w:spacing w:val="1"/>
        <w:kern w:val="2"/>
        <w:sz w:val="24"/>
      </w:rPr>
      <w:tab/>
    </w:r>
  </w:p>
  <w:p w14:paraId="6F7A4108" w14:textId="77777777" w:rsidR="00A95E27" w:rsidRPr="0088513A" w:rsidRDefault="00A95E27" w:rsidP="00A95E27">
    <w:pPr>
      <w:tabs>
        <w:tab w:val="left" w:pos="6996"/>
      </w:tabs>
      <w:spacing w:before="100" w:after="100" w:line="240" w:lineRule="auto"/>
      <w:jc w:val="both"/>
      <w:rPr>
        <w:rFonts w:ascii="Times New Roman" w:hAnsi="Times New Roman" w:cs="Times New Roman"/>
      </w:rPr>
    </w:pPr>
    <w:r w:rsidRPr="0088513A">
      <w:rPr>
        <w:rFonts w:ascii="Times New Roman" w:hAnsi="Times New Roman" w:cs="Times New Roman"/>
      </w:rPr>
      <w:t>ISSN: 2518-881X (Online)</w:t>
    </w:r>
  </w:p>
  <w:p w14:paraId="401DB80F" w14:textId="77777777" w:rsidR="00A95E27" w:rsidRPr="0088513A" w:rsidRDefault="00A95E27" w:rsidP="00A95E27">
    <w:pPr>
      <w:tabs>
        <w:tab w:val="left" w:pos="6996"/>
      </w:tabs>
      <w:spacing w:before="100" w:after="100" w:line="240" w:lineRule="auto"/>
      <w:jc w:val="both"/>
      <w:rPr>
        <w:rFonts w:ascii="Times New Roman" w:eastAsia="Calibri" w:hAnsi="Times New Roman" w:cs="Times New Roman"/>
        <w:kern w:val="2"/>
        <w:sz w:val="24"/>
      </w:rPr>
    </w:pPr>
    <w:r w:rsidRPr="0088513A">
      <w:rPr>
        <w:rFonts w:ascii="Times New Roman" w:eastAsia="Calibri" w:hAnsi="Times New Roman" w:cs="Times New Roman"/>
        <w:kern w:val="2"/>
        <w:sz w:val="24"/>
      </w:rPr>
      <w:t>V</w:t>
    </w:r>
    <w:r w:rsidRPr="0088513A">
      <w:rPr>
        <w:rFonts w:ascii="Times New Roman" w:eastAsia="Calibri" w:hAnsi="Times New Roman" w:cs="Times New Roman"/>
        <w:spacing w:val="4"/>
        <w:kern w:val="2"/>
        <w:sz w:val="24"/>
      </w:rPr>
      <w:t>o</w:t>
    </w:r>
    <w:r w:rsidRPr="0088513A">
      <w:rPr>
        <w:rFonts w:ascii="Times New Roman" w:eastAsia="Calibri" w:hAnsi="Times New Roman" w:cs="Times New Roman"/>
        <w:spacing w:val="-9"/>
        <w:kern w:val="2"/>
        <w:sz w:val="24"/>
      </w:rPr>
      <w:t>l</w:t>
    </w:r>
    <w:r w:rsidRPr="0088513A">
      <w:rPr>
        <w:rFonts w:ascii="Times New Roman" w:eastAsia="Calibri" w:hAnsi="Times New Roman" w:cs="Times New Roman"/>
        <w:spacing w:val="2"/>
        <w:kern w:val="2"/>
        <w:sz w:val="24"/>
      </w:rPr>
      <w:t>.</w:t>
    </w:r>
    <w:r w:rsidRPr="0088513A">
      <w:rPr>
        <w:rFonts w:ascii="Times New Roman" w:eastAsia="Calibri" w:hAnsi="Times New Roman" w:cs="Times New Roman"/>
        <w:kern w:val="2"/>
        <w:sz w:val="24"/>
      </w:rPr>
      <w:t>8,</w:t>
    </w:r>
    <w:r w:rsidRPr="0088513A">
      <w:rPr>
        <w:rFonts w:ascii="Times New Roman" w:eastAsia="Calibri" w:hAnsi="Times New Roman" w:cs="Times New Roman"/>
        <w:spacing w:val="4"/>
        <w:kern w:val="2"/>
        <w:sz w:val="24"/>
      </w:rPr>
      <w:t xml:space="preserve"> </w:t>
    </w:r>
    <w:r w:rsidRPr="0088513A">
      <w:rPr>
        <w:rFonts w:ascii="Times New Roman" w:eastAsia="Calibri" w:hAnsi="Times New Roman" w:cs="Times New Roman"/>
        <w:spacing w:val="1"/>
        <w:kern w:val="2"/>
        <w:sz w:val="24"/>
      </w:rPr>
      <w:t>I</w:t>
    </w:r>
    <w:r w:rsidRPr="0088513A">
      <w:rPr>
        <w:rFonts w:ascii="Times New Roman" w:eastAsia="Calibri" w:hAnsi="Times New Roman" w:cs="Times New Roman"/>
        <w:spacing w:val="-1"/>
        <w:kern w:val="2"/>
        <w:sz w:val="24"/>
      </w:rPr>
      <w:t>s</w:t>
    </w:r>
    <w:r w:rsidRPr="0088513A">
      <w:rPr>
        <w:rFonts w:ascii="Times New Roman" w:eastAsia="Calibri" w:hAnsi="Times New Roman" w:cs="Times New Roman"/>
        <w:spacing w:val="-2"/>
        <w:kern w:val="2"/>
        <w:sz w:val="24"/>
      </w:rPr>
      <w:t>s</w:t>
    </w:r>
    <w:r w:rsidRPr="0088513A">
      <w:rPr>
        <w:rFonts w:ascii="Times New Roman" w:eastAsia="Calibri" w:hAnsi="Times New Roman" w:cs="Times New Roman"/>
        <w:kern w:val="2"/>
        <w:sz w:val="24"/>
      </w:rPr>
      <w:t>ue</w:t>
    </w:r>
    <w:r w:rsidRPr="0088513A">
      <w:rPr>
        <w:rFonts w:ascii="Times New Roman" w:eastAsia="Calibri" w:hAnsi="Times New Roman" w:cs="Times New Roman"/>
        <w:spacing w:val="2"/>
        <w:kern w:val="2"/>
        <w:sz w:val="24"/>
      </w:rPr>
      <w:t xml:space="preserve"> </w:t>
    </w:r>
    <w:r w:rsidR="00532CAC">
      <w:rPr>
        <w:rFonts w:ascii="Times New Roman" w:eastAsia="Calibri" w:hAnsi="Times New Roman" w:cs="Times New Roman"/>
        <w:kern w:val="2"/>
        <w:sz w:val="24"/>
      </w:rPr>
      <w:t>2, No.3</w:t>
    </w:r>
    <w:r w:rsidRPr="0088513A">
      <w:rPr>
        <w:rFonts w:ascii="Times New Roman" w:eastAsia="Calibri" w:hAnsi="Times New Roman" w:cs="Times New Roman"/>
        <w:kern w:val="2"/>
        <w:sz w:val="24"/>
      </w:rPr>
      <w:t>.</w:t>
    </w:r>
    <w:r w:rsidRPr="0088513A">
      <w:rPr>
        <w:rFonts w:ascii="Times New Roman" w:eastAsia="Calibri" w:hAnsi="Times New Roman" w:cs="Times New Roman"/>
        <w:spacing w:val="5"/>
        <w:kern w:val="2"/>
        <w:sz w:val="24"/>
      </w:rPr>
      <w:t xml:space="preserve"> </w:t>
    </w:r>
    <w:r w:rsidRPr="0088513A">
      <w:rPr>
        <w:rFonts w:ascii="Times New Roman" w:eastAsia="Calibri" w:hAnsi="Times New Roman" w:cs="Times New Roman"/>
        <w:kern w:val="2"/>
        <w:sz w:val="24"/>
      </w:rPr>
      <w:t xml:space="preserve">pp. </w:t>
    </w:r>
    <w:r>
      <w:rPr>
        <w:rFonts w:ascii="Times New Roman" w:eastAsia="Calibri" w:hAnsi="Times New Roman" w:cs="Times New Roman"/>
        <w:kern w:val="2"/>
        <w:sz w:val="24"/>
      </w:rPr>
      <w:t>21</w:t>
    </w:r>
    <w:r w:rsidRPr="0088513A">
      <w:rPr>
        <w:rFonts w:ascii="Times New Roman" w:eastAsia="Calibri" w:hAnsi="Times New Roman" w:cs="Times New Roman"/>
        <w:spacing w:val="-1"/>
        <w:kern w:val="2"/>
        <w:sz w:val="24"/>
      </w:rPr>
      <w:t xml:space="preserve"> </w:t>
    </w:r>
    <w:r w:rsidRPr="0088513A">
      <w:rPr>
        <w:rFonts w:ascii="Times New Roman" w:eastAsia="Calibri" w:hAnsi="Times New Roman" w:cs="Times New Roman"/>
        <w:kern w:val="2"/>
        <w:sz w:val="24"/>
      </w:rPr>
      <w:t>-</w:t>
    </w:r>
    <w:r w:rsidRPr="0088513A">
      <w:rPr>
        <w:rFonts w:ascii="Times New Roman" w:eastAsia="Calibri" w:hAnsi="Times New Roman" w:cs="Times New Roman"/>
        <w:spacing w:val="3"/>
        <w:kern w:val="2"/>
        <w:sz w:val="24"/>
      </w:rPr>
      <w:t xml:space="preserve"> </w:t>
    </w:r>
    <w:r>
      <w:rPr>
        <w:rFonts w:ascii="Times New Roman" w:eastAsia="Calibri" w:hAnsi="Times New Roman" w:cs="Times New Roman"/>
        <w:kern w:val="2"/>
        <w:sz w:val="24"/>
      </w:rPr>
      <w:t>31</w:t>
    </w:r>
    <w:r w:rsidRPr="0088513A">
      <w:rPr>
        <w:rFonts w:ascii="Times New Roman" w:eastAsia="Calibri" w:hAnsi="Times New Roman" w:cs="Times New Roman"/>
        <w:kern w:val="2"/>
        <w:sz w:val="24"/>
      </w:rPr>
      <w:t>,</w:t>
    </w:r>
    <w:r w:rsidRPr="0088513A">
      <w:rPr>
        <w:rFonts w:ascii="Times New Roman" w:eastAsia="Calibri" w:hAnsi="Times New Roman" w:cs="Times New Roman"/>
        <w:spacing w:val="3"/>
        <w:kern w:val="2"/>
        <w:sz w:val="24"/>
      </w:rPr>
      <w:t xml:space="preserve"> </w:t>
    </w:r>
    <w:r w:rsidRPr="0088513A">
      <w:rPr>
        <w:rFonts w:ascii="Times New Roman" w:eastAsia="Calibri" w:hAnsi="Times New Roman" w:cs="Times New Roman"/>
        <w:kern w:val="2"/>
        <w:sz w:val="24"/>
      </w:rPr>
      <w:t>2024</w:t>
    </w:r>
  </w:p>
  <w:p w14:paraId="4F2ADD82" w14:textId="77777777" w:rsidR="00A95E27" w:rsidRDefault="00A95E27" w:rsidP="00A95E27">
    <w:pPr>
      <w:tabs>
        <w:tab w:val="center" w:pos="4680"/>
        <w:tab w:val="right" w:pos="9360"/>
      </w:tabs>
      <w:spacing w:after="0" w:line="240" w:lineRule="auto"/>
    </w:pPr>
    <w:r w:rsidRPr="0088513A">
      <w:rPr>
        <w:noProof/>
      </w:rPr>
      <mc:AlternateContent>
        <mc:Choice Requires="wps">
          <w:drawing>
            <wp:anchor distT="4294967295" distB="4294967295" distL="0" distR="0" simplePos="0" relativeHeight="251660288" behindDoc="1" locked="0" layoutInCell="0" allowOverlap="1" wp14:anchorId="0F951B26" wp14:editId="663F4BF5">
              <wp:simplePos x="0" y="0"/>
              <wp:positionH relativeFrom="page">
                <wp:posOffset>50800</wp:posOffset>
              </wp:positionH>
              <wp:positionV relativeFrom="page">
                <wp:posOffset>1397000</wp:posOffset>
              </wp:positionV>
              <wp:extent cx="7896225" cy="45085"/>
              <wp:effectExtent l="0" t="0" r="28575" b="0"/>
              <wp:wrapNone/>
              <wp:docPr id="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96225" cy="45085"/>
                      </a:xfrm>
                      <a:custGeom>
                        <a:avLst/>
                        <a:gdLst/>
                        <a:ahLst/>
                        <a:cxnLst/>
                        <a:rect l="0" t="0" r="0" b="0"/>
                        <a:pathLst>
                          <a:path w="7772400">
                            <a:moveTo>
                              <a:pt x="0" y="0"/>
                            </a:moveTo>
                            <a:lnTo>
                              <a:pt x="7772400" y="0"/>
                            </a:lnTo>
                          </a:path>
                        </a:pathLst>
                      </a:custGeom>
                      <a:noFill/>
                      <a:ln w="19050" cap="flat">
                        <a:solidFill>
                          <a:srgbClr val="4F81BC"/>
                        </a:solidFill>
                        <a:prstDash/>
                      </a:ln>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4E844198" id="Freeform 18" o:spid="_x0000_s1026" style="position:absolute;margin-left:4pt;margin-top:110pt;width:621.75pt;height:3.55pt;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v-text-anchor:top" coordsize="77724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" o:allowincell="f" path="m,l7772400,e" filled="f" strokecolor="#4f81bc" strokeweight="1.5pt">
              <v:path arrowok="t" textboxrect="0,0,7772400,45085"/>
              <w10:wrap anchorx="page" anchory="page"/>
            </v:shape>
          </w:pict>
        </mc:Fallback>
      </mc:AlternateContent>
    </w:r>
    <w:r w:rsidRPr="0088513A">
      <w:rPr>
        <w:rFonts w:ascii="Times New Roman" w:eastAsia="Calibri" w:hAnsi="Times New Roman" w:cs="Times New Roman"/>
        <w:color w:val="0000FF"/>
        <w:w w:val="99"/>
        <w:kern w:val="2"/>
        <w:sz w:val="24"/>
      </w:rPr>
      <w:t xml:space="preserve">                                                                                                                          </w:t>
    </w:r>
    <w:hyperlink r:id="rId2" w:history="1">
      <w:r w:rsidRPr="0088513A">
        <w:rPr>
          <w:rFonts w:ascii="Times New Roman" w:eastAsia="Calibri" w:hAnsi="Times New Roman" w:cs="Times New Roman"/>
          <w:color w:val="0563C1"/>
          <w:w w:val="99"/>
          <w:kern w:val="2"/>
          <w:sz w:val="24"/>
          <w:u w:val="single"/>
        </w:rPr>
        <w:t>www</w:t>
      </w:r>
      <w:r w:rsidRPr="0088513A">
        <w:rPr>
          <w:rFonts w:ascii="Times New Roman" w:eastAsia="Calibri" w:hAnsi="Times New Roman" w:cs="Times New Roman"/>
          <w:color w:val="0563C1"/>
          <w:kern w:val="2"/>
          <w:sz w:val="24"/>
          <w:u w:val="single"/>
        </w:rPr>
        <w:t>.</w:t>
      </w:r>
      <w:r w:rsidRPr="0088513A">
        <w:rPr>
          <w:rFonts w:ascii="Times New Roman" w:eastAsia="Calibri" w:hAnsi="Times New Roman" w:cs="Times New Roman"/>
          <w:color w:val="0563C1"/>
          <w:spacing w:val="-8"/>
          <w:kern w:val="2"/>
          <w:sz w:val="24"/>
          <w:u w:val="single"/>
        </w:rPr>
        <w:t>i</w:t>
      </w:r>
      <w:r w:rsidRPr="0088513A">
        <w:rPr>
          <w:rFonts w:ascii="Times New Roman" w:eastAsia="Calibri" w:hAnsi="Times New Roman" w:cs="Times New Roman"/>
          <w:color w:val="0563C1"/>
          <w:kern w:val="2"/>
          <w:sz w:val="24"/>
          <w:u w:val="single"/>
        </w:rPr>
        <w:t>p</w:t>
      </w:r>
      <w:r w:rsidRPr="0088513A">
        <w:rPr>
          <w:rFonts w:ascii="Times New Roman" w:eastAsia="Calibri" w:hAnsi="Times New Roman" w:cs="Times New Roman"/>
          <w:color w:val="0563C1"/>
          <w:spacing w:val="5"/>
          <w:w w:val="99"/>
          <w:kern w:val="2"/>
          <w:sz w:val="24"/>
          <w:u w:val="single"/>
        </w:rPr>
        <w:t>r</w:t>
      </w:r>
      <w:r w:rsidRPr="0088513A">
        <w:rPr>
          <w:rFonts w:ascii="Times New Roman" w:eastAsia="Calibri" w:hAnsi="Times New Roman" w:cs="Times New Roman"/>
          <w:color w:val="0563C1"/>
          <w:spacing w:val="-3"/>
          <w:kern w:val="2"/>
          <w:sz w:val="24"/>
          <w:u w:val="single"/>
        </w:rPr>
        <w:t>j</w:t>
      </w:r>
      <w:r w:rsidRPr="0088513A">
        <w:rPr>
          <w:rFonts w:ascii="Times New Roman" w:eastAsia="Calibri" w:hAnsi="Times New Roman" w:cs="Times New Roman"/>
          <w:color w:val="0563C1"/>
          <w:spacing w:val="-5"/>
          <w:kern w:val="2"/>
          <w:sz w:val="24"/>
          <w:u w:val="single"/>
        </w:rPr>
        <w:t>b</w:t>
      </w:r>
      <w:r w:rsidRPr="0088513A">
        <w:rPr>
          <w:rFonts w:ascii="Times New Roman" w:eastAsia="Calibri" w:hAnsi="Times New Roman" w:cs="Times New Roman"/>
          <w:color w:val="0563C1"/>
          <w:spacing w:val="1"/>
          <w:kern w:val="2"/>
          <w:sz w:val="24"/>
          <w:u w:val="single"/>
        </w:rPr>
        <w:t>.</w:t>
      </w:r>
      <w:r w:rsidRPr="0088513A">
        <w:rPr>
          <w:rFonts w:ascii="Times New Roman" w:eastAsia="Calibri" w:hAnsi="Times New Roman" w:cs="Times New Roman"/>
          <w:color w:val="0563C1"/>
          <w:spacing w:val="5"/>
          <w:kern w:val="2"/>
          <w:sz w:val="24"/>
          <w:u w:val="single"/>
        </w:rPr>
        <w:t>o</w:t>
      </w:r>
      <w:r w:rsidRPr="0088513A">
        <w:rPr>
          <w:rFonts w:ascii="Times New Roman" w:eastAsia="Calibri" w:hAnsi="Times New Roman" w:cs="Times New Roman"/>
          <w:color w:val="0563C1"/>
          <w:spacing w:val="1"/>
          <w:w w:val="99"/>
          <w:kern w:val="2"/>
          <w:sz w:val="24"/>
          <w:u w:val="single"/>
        </w:rPr>
        <w:t>r</w:t>
      </w:r>
      <w:r w:rsidRPr="0088513A">
        <w:rPr>
          <w:rFonts w:ascii="Times New Roman" w:eastAsia="Calibri" w:hAnsi="Times New Roman" w:cs="Times New Roman"/>
          <w:color w:val="0563C1"/>
          <w:kern w:val="2"/>
          <w:sz w:val="24"/>
          <w:u w:val="single"/>
        </w:rPr>
        <w:t>g</w:t>
      </w:r>
    </w:hyperlink>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73A85" w14:textId="77777777" w:rsidR="00532CAC" w:rsidRDefault="00532C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CB"/>
    <w:rsid w:val="00170CD7"/>
    <w:rsid w:val="002064D6"/>
    <w:rsid w:val="002815DC"/>
    <w:rsid w:val="00373832"/>
    <w:rsid w:val="003C766B"/>
    <w:rsid w:val="00423765"/>
    <w:rsid w:val="00532CAC"/>
    <w:rsid w:val="00616E3F"/>
    <w:rsid w:val="006A26A8"/>
    <w:rsid w:val="007D0081"/>
    <w:rsid w:val="007F0DCB"/>
    <w:rsid w:val="008046D1"/>
    <w:rsid w:val="00992208"/>
    <w:rsid w:val="009A079A"/>
    <w:rsid w:val="00A85AD5"/>
    <w:rsid w:val="00A95D22"/>
    <w:rsid w:val="00A95E27"/>
    <w:rsid w:val="00BC077B"/>
    <w:rsid w:val="00E14FA4"/>
    <w:rsid w:val="00E22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76DB"/>
  <w15:chartTrackingRefBased/>
  <w15:docId w15:val="{373B4FD6-A136-4706-8FC0-A084B281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0D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0DCB"/>
    <w:rPr>
      <w:b/>
      <w:bCs/>
    </w:rPr>
  </w:style>
  <w:style w:type="character" w:styleId="Emphasis">
    <w:name w:val="Emphasis"/>
    <w:basedOn w:val="DefaultParagraphFont"/>
    <w:uiPriority w:val="20"/>
    <w:qFormat/>
    <w:rsid w:val="007F0DCB"/>
    <w:rPr>
      <w:i/>
      <w:iCs/>
    </w:rPr>
  </w:style>
  <w:style w:type="paragraph" w:styleId="Header">
    <w:name w:val="header"/>
    <w:basedOn w:val="Normal"/>
    <w:link w:val="HeaderChar"/>
    <w:uiPriority w:val="99"/>
    <w:unhideWhenUsed/>
    <w:rsid w:val="00A95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E27"/>
  </w:style>
  <w:style w:type="paragraph" w:styleId="Footer">
    <w:name w:val="footer"/>
    <w:basedOn w:val="Normal"/>
    <w:link w:val="FooterChar"/>
    <w:uiPriority w:val="99"/>
    <w:unhideWhenUsed/>
    <w:rsid w:val="00A95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E27"/>
  </w:style>
  <w:style w:type="character" w:styleId="CommentReference">
    <w:name w:val="annotation reference"/>
    <w:basedOn w:val="DefaultParagraphFont"/>
    <w:uiPriority w:val="99"/>
    <w:semiHidden/>
    <w:unhideWhenUsed/>
    <w:rsid w:val="00170CD7"/>
    <w:rPr>
      <w:sz w:val="16"/>
      <w:szCs w:val="16"/>
    </w:rPr>
  </w:style>
  <w:style w:type="paragraph" w:styleId="CommentText">
    <w:name w:val="annotation text"/>
    <w:basedOn w:val="Normal"/>
    <w:link w:val="CommentTextChar"/>
    <w:uiPriority w:val="99"/>
    <w:semiHidden/>
    <w:unhideWhenUsed/>
    <w:rsid w:val="00170CD7"/>
    <w:pPr>
      <w:spacing w:line="240" w:lineRule="auto"/>
    </w:pPr>
    <w:rPr>
      <w:sz w:val="20"/>
      <w:szCs w:val="20"/>
    </w:rPr>
  </w:style>
  <w:style w:type="character" w:customStyle="1" w:styleId="CommentTextChar">
    <w:name w:val="Comment Text Char"/>
    <w:basedOn w:val="DefaultParagraphFont"/>
    <w:link w:val="CommentText"/>
    <w:uiPriority w:val="99"/>
    <w:semiHidden/>
    <w:rsid w:val="00170CD7"/>
    <w:rPr>
      <w:sz w:val="20"/>
      <w:szCs w:val="20"/>
    </w:rPr>
  </w:style>
  <w:style w:type="paragraph" w:styleId="CommentSubject">
    <w:name w:val="annotation subject"/>
    <w:basedOn w:val="CommentText"/>
    <w:next w:val="CommentText"/>
    <w:link w:val="CommentSubjectChar"/>
    <w:uiPriority w:val="99"/>
    <w:semiHidden/>
    <w:unhideWhenUsed/>
    <w:rsid w:val="00170CD7"/>
    <w:rPr>
      <w:b/>
      <w:bCs/>
    </w:rPr>
  </w:style>
  <w:style w:type="character" w:customStyle="1" w:styleId="CommentSubjectChar">
    <w:name w:val="Comment Subject Char"/>
    <w:basedOn w:val="CommentTextChar"/>
    <w:link w:val="CommentSubject"/>
    <w:uiPriority w:val="99"/>
    <w:semiHidden/>
    <w:rsid w:val="00170CD7"/>
    <w:rPr>
      <w:b/>
      <w:bCs/>
      <w:sz w:val="20"/>
      <w:szCs w:val="20"/>
    </w:rPr>
  </w:style>
  <w:style w:type="paragraph" w:styleId="BalloonText">
    <w:name w:val="Balloon Text"/>
    <w:basedOn w:val="Normal"/>
    <w:link w:val="BalloonTextChar"/>
    <w:uiPriority w:val="99"/>
    <w:semiHidden/>
    <w:unhideWhenUsed/>
    <w:rsid w:val="00170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C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53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orcid.org/"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iprjb.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B6720-66F8-40B5-9517-94B037AED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4222</Words>
  <Characters>24068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2024-07-04T20:13:00Z</dcterms:created>
  <dcterms:modified xsi:type="dcterms:W3CDTF">2024-07-04T20:13:00Z</dcterms:modified>
</cp:coreProperties>
</file>