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492607" w14:textId="77777777" w:rsidR="00E14FA4" w:rsidRDefault="00E14FA4" w:rsidP="00E14FA4">
      <w:pPr>
        <w:spacing w:before="100" w:after="100" w:line="240" w:lineRule="auto"/>
        <w:jc w:val="center"/>
        <w:rPr>
          <w:rFonts w:ascii="Times New Roman" w:hAnsi="Times New Roman" w:cs="Times New Roman"/>
          <w:b/>
          <w:sz w:val="20"/>
          <w:szCs w:val="20"/>
        </w:rPr>
      </w:pPr>
    </w:p>
    <w:p w14:paraId="2E44AEA7" w14:textId="77777777" w:rsidR="00E14FA4" w:rsidRDefault="00E14FA4" w:rsidP="00E14FA4">
      <w:pPr>
        <w:spacing w:before="100" w:after="100" w:line="240" w:lineRule="auto"/>
        <w:jc w:val="center"/>
        <w:rPr>
          <w:rFonts w:ascii="Times New Roman" w:hAnsi="Times New Roman" w:cs="Times New Roman"/>
          <w:b/>
          <w:sz w:val="20"/>
          <w:szCs w:val="20"/>
        </w:rPr>
      </w:pPr>
    </w:p>
    <w:p w14:paraId="1BECFF35" w14:textId="77777777" w:rsidR="00E14FA4" w:rsidRDefault="00E14FA4" w:rsidP="00E14FA4">
      <w:pPr>
        <w:spacing w:before="100" w:after="100" w:line="240" w:lineRule="auto"/>
        <w:jc w:val="center"/>
        <w:rPr>
          <w:rFonts w:ascii="Times New Roman" w:hAnsi="Times New Roman" w:cs="Times New Roman"/>
          <w:b/>
          <w:sz w:val="20"/>
          <w:szCs w:val="20"/>
        </w:rPr>
      </w:pPr>
    </w:p>
    <w:p w14:paraId="6E07531E" w14:textId="77777777" w:rsidR="00E14FA4" w:rsidRDefault="00E14FA4" w:rsidP="00E14FA4">
      <w:pPr>
        <w:spacing w:before="100" w:after="100" w:line="240" w:lineRule="auto"/>
        <w:jc w:val="center"/>
        <w:rPr>
          <w:rFonts w:ascii="Times New Roman" w:hAnsi="Times New Roman" w:cs="Times New Roman"/>
          <w:b/>
          <w:sz w:val="20"/>
          <w:szCs w:val="20"/>
        </w:rPr>
      </w:pPr>
    </w:p>
    <w:p w14:paraId="2A0C8EF3" w14:textId="77777777" w:rsidR="00E14FA4" w:rsidRDefault="00E14FA4" w:rsidP="00E14FA4">
      <w:pPr>
        <w:spacing w:before="100" w:after="100" w:line="240" w:lineRule="auto"/>
        <w:jc w:val="center"/>
        <w:rPr>
          <w:rFonts w:ascii="Times New Roman" w:hAnsi="Times New Roman" w:cs="Times New Roman"/>
          <w:b/>
          <w:sz w:val="20"/>
          <w:szCs w:val="20"/>
        </w:rPr>
      </w:pPr>
    </w:p>
    <w:p w14:paraId="3ED4CD3B" w14:textId="77777777" w:rsidR="00E14FA4" w:rsidRDefault="00E14FA4" w:rsidP="00E14FA4">
      <w:pPr>
        <w:spacing w:before="100" w:after="100" w:line="240" w:lineRule="auto"/>
        <w:jc w:val="center"/>
        <w:rPr>
          <w:rFonts w:ascii="Times New Roman" w:hAnsi="Times New Roman" w:cs="Times New Roman"/>
          <w:b/>
          <w:sz w:val="20"/>
          <w:szCs w:val="20"/>
        </w:rPr>
      </w:pPr>
    </w:p>
    <w:p w14:paraId="04D218D1" w14:textId="77777777" w:rsidR="00E14FA4" w:rsidRDefault="00E14FA4" w:rsidP="00E14FA4">
      <w:pPr>
        <w:spacing w:before="100" w:after="100" w:line="240" w:lineRule="auto"/>
        <w:jc w:val="center"/>
        <w:rPr>
          <w:rFonts w:ascii="Times New Roman" w:hAnsi="Times New Roman" w:cs="Times New Roman"/>
          <w:b/>
          <w:sz w:val="20"/>
          <w:szCs w:val="20"/>
        </w:rPr>
      </w:pPr>
    </w:p>
    <w:p w14:paraId="0B0ECF3D" w14:textId="77777777" w:rsidR="00E14FA4" w:rsidRDefault="00E14FA4" w:rsidP="00E14FA4">
      <w:pPr>
        <w:spacing w:before="100" w:after="100" w:line="240" w:lineRule="auto"/>
        <w:jc w:val="center"/>
        <w:rPr>
          <w:rFonts w:ascii="Times New Roman" w:hAnsi="Times New Roman" w:cs="Times New Roman"/>
          <w:b/>
          <w:sz w:val="20"/>
          <w:szCs w:val="20"/>
        </w:rPr>
      </w:pPr>
    </w:p>
    <w:p w14:paraId="52310B4F" w14:textId="77777777" w:rsidR="00E14FA4" w:rsidRPr="00E14FA4" w:rsidRDefault="00E14FA4" w:rsidP="00E14FA4">
      <w:pPr>
        <w:spacing w:before="100" w:after="100" w:line="240" w:lineRule="auto"/>
        <w:jc w:val="center"/>
        <w:rPr>
          <w:sz w:val="32"/>
          <w:szCs w:val="32"/>
        </w:rPr>
      </w:pPr>
      <w:r w:rsidRPr="00E14FA4">
        <w:rPr>
          <w:rFonts w:ascii="Times New Roman" w:hAnsi="Times New Roman" w:cs="Times New Roman"/>
          <w:b/>
          <w:sz w:val="32"/>
          <w:szCs w:val="32"/>
        </w:rPr>
        <w:t>Impact of Financial Regulations on Insurance Company Profitability in Morocco</w:t>
      </w:r>
      <w:r w:rsidRPr="00E14FA4">
        <w:rPr>
          <w:sz w:val="32"/>
          <w:szCs w:val="32"/>
        </w:rPr>
        <w:t xml:space="preserve"> </w:t>
      </w:r>
    </w:p>
    <w:p w14:paraId="3E8BBFB9" w14:textId="77777777" w:rsidR="00E14FA4" w:rsidRPr="00E14FA4" w:rsidRDefault="00E14FA4" w:rsidP="00E14FA4">
      <w:pPr>
        <w:spacing w:before="100" w:after="100" w:line="240" w:lineRule="auto"/>
        <w:jc w:val="center"/>
        <w:rPr>
          <w:sz w:val="32"/>
          <w:szCs w:val="32"/>
        </w:rPr>
      </w:pPr>
    </w:p>
    <w:p w14:paraId="1246F6E0" w14:textId="77777777" w:rsidR="00E14FA4" w:rsidRPr="00E14FA4" w:rsidRDefault="00E14FA4" w:rsidP="00E14FA4">
      <w:pPr>
        <w:spacing w:before="100" w:after="100" w:line="240" w:lineRule="auto"/>
        <w:jc w:val="center"/>
        <w:rPr>
          <w:sz w:val="32"/>
          <w:szCs w:val="32"/>
        </w:rPr>
      </w:pPr>
    </w:p>
    <w:p w14:paraId="47799A9C" w14:textId="77777777" w:rsidR="00E14FA4" w:rsidRPr="00E14FA4" w:rsidRDefault="00E14FA4" w:rsidP="00E14FA4">
      <w:pPr>
        <w:spacing w:before="100" w:after="100" w:line="240" w:lineRule="auto"/>
        <w:jc w:val="center"/>
        <w:rPr>
          <w:rFonts w:ascii="Times New Roman" w:hAnsi="Times New Roman" w:cs="Times New Roman"/>
          <w:sz w:val="32"/>
          <w:szCs w:val="32"/>
        </w:rPr>
      </w:pPr>
      <w:r w:rsidRPr="00E14FA4">
        <w:rPr>
          <w:rFonts w:ascii="Times New Roman" w:hAnsi="Times New Roman" w:cs="Times New Roman"/>
          <w:sz w:val="32"/>
          <w:szCs w:val="32"/>
        </w:rPr>
        <w:t>Rachid Ben</w:t>
      </w:r>
    </w:p>
    <w:p w14:paraId="1F2D2518" w14:textId="77777777" w:rsidR="00BC077B" w:rsidRDefault="00E14FA4" w:rsidP="00BC077B">
      <w:pPr>
        <w:spacing w:before="100" w:after="100" w:line="240" w:lineRule="auto"/>
        <w:jc w:val="both"/>
        <w:rPr>
          <w:rFonts w:ascii="Times New Roman" w:hAnsi="Times New Roman" w:cs="Times New Roman"/>
          <w:sz w:val="24"/>
          <w:szCs w:val="24"/>
        </w:rPr>
      </w:pPr>
      <w:r>
        <w:rPr>
          <w:b/>
          <w:noProof/>
          <w:sz w:val="28"/>
          <w:szCs w:val="28"/>
        </w:rPr>
        <w:drawing>
          <wp:anchor distT="0" distB="0" distL="114300" distR="114300" simplePos="0" relativeHeight="251659264" behindDoc="1" locked="0" layoutInCell="1" allowOverlap="1" wp14:anchorId="53F2AEAD" wp14:editId="2023F8A5">
            <wp:simplePos x="0" y="0"/>
            <wp:positionH relativeFrom="page">
              <wp:align>left</wp:align>
            </wp:positionH>
            <wp:positionV relativeFrom="page">
              <wp:align>bottom</wp:align>
            </wp:positionV>
            <wp:extent cx="7800975" cy="10096500"/>
            <wp:effectExtent l="0" t="0" r="9525" b="0"/>
            <wp:wrapNone/>
            <wp:docPr id="2" name="Picture 2" descr="C:\Users\Liz\AppData\Local\Temp\JS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C:\Users\Liz\AppData\Local\Temp\JSAR.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00975" cy="10096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F4DC11" w14:textId="77777777" w:rsidR="00BC077B" w:rsidRDefault="00BC077B" w:rsidP="00BC077B">
      <w:pPr>
        <w:spacing w:before="100" w:after="100" w:line="240" w:lineRule="auto"/>
        <w:jc w:val="both"/>
        <w:rPr>
          <w:rFonts w:ascii="Times New Roman" w:hAnsi="Times New Roman" w:cs="Times New Roman"/>
          <w:sz w:val="24"/>
          <w:szCs w:val="24"/>
        </w:rPr>
      </w:pPr>
    </w:p>
    <w:p w14:paraId="49AB438E" w14:textId="77777777" w:rsidR="00BC077B" w:rsidRDefault="00BC077B" w:rsidP="00BC077B">
      <w:pPr>
        <w:spacing w:before="100" w:after="100" w:line="240" w:lineRule="auto"/>
        <w:jc w:val="both"/>
        <w:rPr>
          <w:rFonts w:ascii="Times New Roman" w:hAnsi="Times New Roman" w:cs="Times New Roman"/>
          <w:sz w:val="24"/>
          <w:szCs w:val="24"/>
        </w:rPr>
      </w:pPr>
    </w:p>
    <w:p w14:paraId="4A4B6E16" w14:textId="77777777" w:rsidR="00BC077B" w:rsidRDefault="00BC077B" w:rsidP="00BC077B">
      <w:pPr>
        <w:spacing w:before="100" w:after="100" w:line="240" w:lineRule="auto"/>
        <w:jc w:val="both"/>
        <w:rPr>
          <w:rFonts w:ascii="Times New Roman" w:hAnsi="Times New Roman" w:cs="Times New Roman"/>
          <w:sz w:val="24"/>
          <w:szCs w:val="24"/>
        </w:rPr>
      </w:pPr>
    </w:p>
    <w:p w14:paraId="4ACB111E" w14:textId="77777777" w:rsidR="00BC077B" w:rsidRDefault="00BC077B" w:rsidP="00BC077B">
      <w:pPr>
        <w:spacing w:before="100" w:after="100" w:line="240" w:lineRule="auto"/>
        <w:jc w:val="both"/>
        <w:rPr>
          <w:rFonts w:ascii="Times New Roman" w:hAnsi="Times New Roman" w:cs="Times New Roman"/>
          <w:sz w:val="24"/>
          <w:szCs w:val="24"/>
        </w:rPr>
      </w:pPr>
    </w:p>
    <w:p w14:paraId="6B5C7E8B" w14:textId="77777777" w:rsidR="00BC077B" w:rsidRDefault="00BC077B" w:rsidP="00BC077B">
      <w:pPr>
        <w:spacing w:before="100" w:after="100" w:line="240" w:lineRule="auto"/>
        <w:jc w:val="both"/>
        <w:rPr>
          <w:rFonts w:ascii="Times New Roman" w:hAnsi="Times New Roman" w:cs="Times New Roman"/>
          <w:sz w:val="24"/>
          <w:szCs w:val="24"/>
        </w:rPr>
      </w:pPr>
    </w:p>
    <w:p w14:paraId="566F81BF" w14:textId="77777777" w:rsidR="00BC077B" w:rsidRDefault="00BC077B" w:rsidP="00BC077B">
      <w:pPr>
        <w:spacing w:before="100" w:after="100" w:line="240" w:lineRule="auto"/>
        <w:jc w:val="both"/>
        <w:rPr>
          <w:rFonts w:ascii="Times New Roman" w:hAnsi="Times New Roman" w:cs="Times New Roman"/>
          <w:sz w:val="24"/>
          <w:szCs w:val="24"/>
        </w:rPr>
      </w:pPr>
    </w:p>
    <w:p w14:paraId="0ED161EB" w14:textId="77777777" w:rsidR="00BC077B" w:rsidRDefault="00BC077B" w:rsidP="00BC077B">
      <w:pPr>
        <w:spacing w:before="100" w:after="100" w:line="240" w:lineRule="auto"/>
        <w:jc w:val="both"/>
        <w:rPr>
          <w:rFonts w:ascii="Times New Roman" w:hAnsi="Times New Roman" w:cs="Times New Roman"/>
          <w:sz w:val="24"/>
          <w:szCs w:val="24"/>
        </w:rPr>
      </w:pPr>
    </w:p>
    <w:p w14:paraId="11A62C92" w14:textId="77777777" w:rsidR="00BC077B" w:rsidRDefault="00BC077B" w:rsidP="00BC077B">
      <w:pPr>
        <w:spacing w:before="100" w:after="100" w:line="240" w:lineRule="auto"/>
        <w:jc w:val="both"/>
        <w:rPr>
          <w:rFonts w:ascii="Times New Roman" w:hAnsi="Times New Roman" w:cs="Times New Roman"/>
          <w:sz w:val="24"/>
          <w:szCs w:val="24"/>
        </w:rPr>
      </w:pPr>
    </w:p>
    <w:p w14:paraId="2F08995C" w14:textId="77777777" w:rsidR="00BC077B" w:rsidRDefault="00BC077B" w:rsidP="00BC077B">
      <w:pPr>
        <w:spacing w:before="100" w:after="100" w:line="240" w:lineRule="auto"/>
        <w:jc w:val="both"/>
        <w:rPr>
          <w:rFonts w:ascii="Times New Roman" w:hAnsi="Times New Roman" w:cs="Times New Roman"/>
          <w:sz w:val="24"/>
          <w:szCs w:val="24"/>
        </w:rPr>
      </w:pPr>
    </w:p>
    <w:p w14:paraId="77F01A5D" w14:textId="77777777" w:rsidR="00BC077B" w:rsidRDefault="00BC077B" w:rsidP="00BC077B">
      <w:pPr>
        <w:spacing w:before="100" w:after="100" w:line="240" w:lineRule="auto"/>
        <w:jc w:val="both"/>
        <w:rPr>
          <w:rFonts w:ascii="Times New Roman" w:hAnsi="Times New Roman" w:cs="Times New Roman"/>
          <w:sz w:val="24"/>
          <w:szCs w:val="24"/>
        </w:rPr>
      </w:pPr>
    </w:p>
    <w:p w14:paraId="5130479D" w14:textId="77777777" w:rsidR="00BC077B" w:rsidRDefault="00BC077B" w:rsidP="00BC077B">
      <w:pPr>
        <w:spacing w:before="100" w:after="100" w:line="240" w:lineRule="auto"/>
        <w:jc w:val="both"/>
        <w:rPr>
          <w:rFonts w:ascii="Times New Roman" w:hAnsi="Times New Roman" w:cs="Times New Roman"/>
          <w:sz w:val="24"/>
          <w:szCs w:val="24"/>
        </w:rPr>
      </w:pPr>
    </w:p>
    <w:p w14:paraId="4438262E" w14:textId="77777777" w:rsidR="00BC077B" w:rsidRDefault="00BC077B" w:rsidP="00BC077B">
      <w:pPr>
        <w:spacing w:before="100" w:after="100" w:line="240" w:lineRule="auto"/>
        <w:jc w:val="both"/>
        <w:rPr>
          <w:rFonts w:ascii="Times New Roman" w:hAnsi="Times New Roman" w:cs="Times New Roman"/>
          <w:sz w:val="24"/>
          <w:szCs w:val="24"/>
        </w:rPr>
      </w:pPr>
    </w:p>
    <w:p w14:paraId="391D8BE0" w14:textId="77777777" w:rsidR="00BC077B" w:rsidRDefault="00BC077B" w:rsidP="00BC077B">
      <w:pPr>
        <w:spacing w:before="100" w:after="100" w:line="240" w:lineRule="auto"/>
        <w:jc w:val="both"/>
        <w:rPr>
          <w:rFonts w:ascii="Times New Roman" w:hAnsi="Times New Roman" w:cs="Times New Roman"/>
          <w:sz w:val="24"/>
          <w:szCs w:val="24"/>
        </w:rPr>
      </w:pPr>
    </w:p>
    <w:p w14:paraId="3D8BF00F" w14:textId="77777777" w:rsidR="00BC077B" w:rsidRDefault="00BC077B" w:rsidP="00BC077B">
      <w:pPr>
        <w:spacing w:before="100" w:after="100" w:line="240" w:lineRule="auto"/>
        <w:jc w:val="both"/>
        <w:rPr>
          <w:rFonts w:ascii="Times New Roman" w:hAnsi="Times New Roman" w:cs="Times New Roman"/>
          <w:sz w:val="24"/>
          <w:szCs w:val="24"/>
        </w:rPr>
      </w:pPr>
    </w:p>
    <w:p w14:paraId="3C854791" w14:textId="77777777" w:rsidR="00BC077B" w:rsidRDefault="00BC077B" w:rsidP="00BC077B">
      <w:pPr>
        <w:spacing w:before="100" w:after="100" w:line="240" w:lineRule="auto"/>
        <w:jc w:val="both"/>
        <w:rPr>
          <w:rFonts w:ascii="Times New Roman" w:hAnsi="Times New Roman" w:cs="Times New Roman"/>
          <w:sz w:val="24"/>
          <w:szCs w:val="24"/>
        </w:rPr>
      </w:pPr>
    </w:p>
    <w:p w14:paraId="60175087" w14:textId="77777777" w:rsidR="00BC077B" w:rsidRDefault="00BC077B" w:rsidP="00BC077B">
      <w:pPr>
        <w:spacing w:before="100" w:after="100" w:line="240" w:lineRule="auto"/>
        <w:jc w:val="both"/>
        <w:rPr>
          <w:rFonts w:ascii="Times New Roman" w:hAnsi="Times New Roman" w:cs="Times New Roman"/>
          <w:sz w:val="24"/>
          <w:szCs w:val="24"/>
        </w:rPr>
      </w:pPr>
    </w:p>
    <w:p w14:paraId="7979367D" w14:textId="77777777" w:rsidR="00BC077B" w:rsidRDefault="00BC077B" w:rsidP="00BC077B">
      <w:pPr>
        <w:spacing w:before="100" w:after="100" w:line="240" w:lineRule="auto"/>
        <w:jc w:val="both"/>
        <w:rPr>
          <w:rFonts w:ascii="Times New Roman" w:hAnsi="Times New Roman" w:cs="Times New Roman"/>
          <w:sz w:val="24"/>
          <w:szCs w:val="24"/>
        </w:rPr>
      </w:pPr>
    </w:p>
    <w:p w14:paraId="3A2C4562" w14:textId="77777777" w:rsidR="00BC077B" w:rsidRDefault="00BC077B" w:rsidP="00BC077B">
      <w:pPr>
        <w:spacing w:before="100" w:after="100" w:line="240" w:lineRule="auto"/>
        <w:jc w:val="both"/>
        <w:rPr>
          <w:rFonts w:ascii="Times New Roman" w:hAnsi="Times New Roman" w:cs="Times New Roman"/>
          <w:sz w:val="24"/>
          <w:szCs w:val="24"/>
        </w:rPr>
      </w:pPr>
    </w:p>
    <w:p w14:paraId="4F6E90B3" w14:textId="77777777" w:rsidR="00A95E27" w:rsidRDefault="00A95E27" w:rsidP="00BC077B">
      <w:pPr>
        <w:spacing w:before="100" w:after="100" w:line="240" w:lineRule="auto"/>
        <w:jc w:val="both"/>
        <w:rPr>
          <w:rFonts w:ascii="Times New Roman" w:hAnsi="Times New Roman" w:cs="Times New Roman"/>
          <w:sz w:val="24"/>
          <w:szCs w:val="24"/>
        </w:rPr>
        <w:sectPr w:rsidR="00A95E27" w:rsidSect="00A95E2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21"/>
          <w:cols w:space="720"/>
          <w:docGrid w:linePitch="360"/>
        </w:sectPr>
      </w:pPr>
    </w:p>
    <w:p w14:paraId="5FB20389" w14:textId="77777777" w:rsidR="007F0DCB" w:rsidRDefault="00E14FA4" w:rsidP="00A95E27">
      <w:pPr>
        <w:spacing w:before="100" w:after="100" w:line="240" w:lineRule="auto"/>
        <w:jc w:val="center"/>
        <w:rPr>
          <w:rFonts w:ascii="Times New Roman" w:hAnsi="Times New Roman" w:cs="Times New Roman"/>
          <w:b/>
          <w:sz w:val="20"/>
          <w:szCs w:val="20"/>
        </w:rPr>
      </w:pPr>
      <w:r w:rsidRPr="00E14FA4">
        <w:rPr>
          <w:rFonts w:ascii="Times New Roman" w:hAnsi="Times New Roman" w:cs="Times New Roman"/>
          <w:b/>
          <w:sz w:val="20"/>
          <w:szCs w:val="20"/>
        </w:rPr>
        <w:lastRenderedPageBreak/>
        <w:t xml:space="preserve">Impact of Financial Regulations on Insurance Company Profitability </w:t>
      </w:r>
      <w:r w:rsidR="006A26A8" w:rsidRPr="00E14FA4">
        <w:rPr>
          <w:rFonts w:ascii="Times New Roman" w:hAnsi="Times New Roman" w:cs="Times New Roman"/>
          <w:b/>
          <w:sz w:val="20"/>
          <w:szCs w:val="20"/>
        </w:rPr>
        <w:t>in Morocco</w:t>
      </w:r>
    </w:p>
    <w:p w14:paraId="4B3E76CF" w14:textId="77777777" w:rsidR="00A95E27" w:rsidRPr="00E14FA4" w:rsidRDefault="00A95E27" w:rsidP="00A95E27">
      <w:pPr>
        <w:spacing w:before="100" w:after="100" w:line="240" w:lineRule="auto"/>
        <w:jc w:val="center"/>
        <w:rPr>
          <w:rFonts w:ascii="Times New Roman" w:hAnsi="Times New Roman" w:cs="Times New Roman"/>
          <w:b/>
          <w:sz w:val="20"/>
          <w:szCs w:val="20"/>
        </w:rPr>
      </w:pPr>
    </w:p>
    <w:p w14:paraId="3660CD73" w14:textId="77777777" w:rsidR="003C766B" w:rsidRPr="00A95E27" w:rsidRDefault="003C766B" w:rsidP="00A95E27">
      <w:pPr>
        <w:spacing w:before="120" w:after="120"/>
        <w:jc w:val="center"/>
        <w:rPr>
          <w:rFonts w:ascii="Times New Roman" w:hAnsi="Times New Roman" w:cs="Times New Roman"/>
          <w:sz w:val="20"/>
          <w:szCs w:val="20"/>
        </w:rPr>
      </w:pPr>
      <w:r w:rsidRPr="00A95E27">
        <w:rPr>
          <w:rFonts w:ascii="Times New Roman" w:hAnsi="Times New Roman" w:cs="Times New Roman"/>
          <w:noProof/>
          <w:sz w:val="20"/>
          <w:szCs w:val="20"/>
        </w:rPr>
        <w:drawing>
          <wp:inline distT="0" distB="0" distL="0" distR="0" wp14:anchorId="1F068498" wp14:editId="58198CF7">
            <wp:extent cx="219075" cy="219075"/>
            <wp:effectExtent l="0" t="0" r="9525" b="9525"/>
            <wp:docPr id="1" name="Picture 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E14FA4" w:rsidRPr="00A95E27">
        <w:rPr>
          <w:rFonts w:ascii="Times New Roman" w:hAnsi="Times New Roman" w:cs="Times New Roman"/>
          <w:sz w:val="20"/>
          <w:szCs w:val="20"/>
        </w:rPr>
        <w:t>Rachid Ben</w:t>
      </w:r>
    </w:p>
    <w:p w14:paraId="060BF1C9" w14:textId="13527416" w:rsidR="00E14FA4" w:rsidRDefault="00A95D22" w:rsidP="00A95D22">
      <w:pPr>
        <w:spacing w:before="100" w:after="0" w:line="240" w:lineRule="auto"/>
        <w:jc w:val="center"/>
        <w:rPr>
          <w:rFonts w:ascii="Times New Roman" w:hAnsi="Times New Roman" w:cs="Times New Roman"/>
          <w:sz w:val="20"/>
          <w:szCs w:val="20"/>
        </w:rPr>
      </w:pPr>
      <w:r w:rsidRPr="00A95D22">
        <w:rPr>
          <w:rFonts w:ascii="Times New Roman" w:hAnsi="Times New Roman" w:cs="Times New Roman"/>
          <w:sz w:val="20"/>
          <w:szCs w:val="20"/>
        </w:rPr>
        <w:t>Cadi Ayyad University</w:t>
      </w:r>
    </w:p>
    <w:p w14:paraId="5D3C25DD" w14:textId="77777777" w:rsidR="00A95D22" w:rsidRPr="00A95D22" w:rsidRDefault="00A95D22" w:rsidP="00A95D22">
      <w:pPr>
        <w:spacing w:before="100" w:after="0" w:line="240" w:lineRule="auto"/>
        <w:jc w:val="center"/>
        <w:rPr>
          <w:rFonts w:ascii="Times New Roman" w:hAnsi="Times New Roman" w:cs="Times New Roman"/>
          <w:sz w:val="20"/>
          <w:szCs w:val="20"/>
        </w:rPr>
      </w:pPr>
    </w:p>
    <w:p w14:paraId="13475934" w14:textId="77777777" w:rsidR="003C766B" w:rsidRPr="003C766B" w:rsidRDefault="003C766B" w:rsidP="003C766B">
      <w:pPr>
        <w:pBdr>
          <w:bottom w:val="single" w:sz="4" w:space="1" w:color="auto"/>
        </w:pBdr>
        <w:spacing w:before="100" w:after="100" w:line="240" w:lineRule="auto"/>
        <w:jc w:val="center"/>
        <w:rPr>
          <w:rFonts w:ascii="Times New Roman" w:eastAsia="Calibri" w:hAnsi="Times New Roman" w:cs="Times New Roman"/>
          <w:b/>
          <w:sz w:val="20"/>
          <w:szCs w:val="20"/>
        </w:rPr>
      </w:pPr>
      <w:r w:rsidRPr="003C766B">
        <w:rPr>
          <w:rFonts w:ascii="Times New Roman" w:eastAsia="Calibri" w:hAnsi="Times New Roman" w:cs="Times New Roman"/>
          <w:b/>
          <w:sz w:val="20"/>
          <w:szCs w:val="20"/>
        </w:rPr>
        <w:t>Article History</w:t>
      </w:r>
    </w:p>
    <w:p w14:paraId="3335E7AC" w14:textId="77777777" w:rsidR="003C766B" w:rsidRPr="003C766B" w:rsidRDefault="003C766B" w:rsidP="003C766B">
      <w:pPr>
        <w:spacing w:before="100" w:after="100" w:line="240" w:lineRule="auto"/>
        <w:jc w:val="center"/>
        <w:rPr>
          <w:rFonts w:ascii="Times New Roman" w:eastAsia="Calibri" w:hAnsi="Times New Roman" w:cs="Times New Roman"/>
          <w:b/>
          <w:i/>
          <w:sz w:val="20"/>
          <w:szCs w:val="20"/>
        </w:rPr>
      </w:pPr>
      <w:r w:rsidRPr="003C766B">
        <w:rPr>
          <w:rFonts w:ascii="Times New Roman" w:eastAsia="Calibri" w:hAnsi="Times New Roman" w:cs="Times New Roman"/>
          <w:b/>
          <w:i/>
          <w:sz w:val="20"/>
          <w:szCs w:val="20"/>
        </w:rPr>
        <w:t>Received 24</w:t>
      </w:r>
      <w:r w:rsidRPr="003C766B">
        <w:rPr>
          <w:rFonts w:ascii="Times New Roman" w:eastAsia="Calibri" w:hAnsi="Times New Roman" w:cs="Times New Roman"/>
          <w:b/>
          <w:i/>
          <w:sz w:val="20"/>
          <w:szCs w:val="20"/>
          <w:vertAlign w:val="superscript"/>
        </w:rPr>
        <w:t>th</w:t>
      </w:r>
      <w:r w:rsidRPr="003C766B">
        <w:rPr>
          <w:rFonts w:ascii="Times New Roman" w:eastAsia="Calibri" w:hAnsi="Times New Roman" w:cs="Times New Roman"/>
          <w:b/>
          <w:i/>
          <w:sz w:val="20"/>
          <w:szCs w:val="20"/>
        </w:rPr>
        <w:t xml:space="preserve"> February 2024</w:t>
      </w:r>
    </w:p>
    <w:p w14:paraId="36058BC6" w14:textId="77777777" w:rsidR="003C766B" w:rsidRPr="003C766B" w:rsidRDefault="003C766B" w:rsidP="003C766B">
      <w:pPr>
        <w:spacing w:before="100" w:after="100" w:line="240" w:lineRule="auto"/>
        <w:jc w:val="center"/>
        <w:rPr>
          <w:rFonts w:ascii="Times New Roman" w:eastAsia="Calibri" w:hAnsi="Times New Roman" w:cs="Times New Roman"/>
          <w:b/>
          <w:i/>
          <w:sz w:val="20"/>
          <w:szCs w:val="20"/>
        </w:rPr>
      </w:pPr>
      <w:r w:rsidRPr="003C766B">
        <w:rPr>
          <w:rFonts w:ascii="Times New Roman" w:eastAsia="Calibri" w:hAnsi="Times New Roman" w:cs="Times New Roman"/>
          <w:b/>
          <w:i/>
          <w:sz w:val="20"/>
          <w:szCs w:val="20"/>
        </w:rPr>
        <w:t>Received in Revised Form 1</w:t>
      </w:r>
      <w:r w:rsidRPr="003C766B">
        <w:rPr>
          <w:rFonts w:ascii="Times New Roman" w:eastAsia="Calibri" w:hAnsi="Times New Roman" w:cs="Times New Roman"/>
          <w:b/>
          <w:i/>
          <w:sz w:val="20"/>
          <w:szCs w:val="20"/>
          <w:vertAlign w:val="superscript"/>
        </w:rPr>
        <w:t>st</w:t>
      </w:r>
      <w:r w:rsidRPr="003C766B">
        <w:rPr>
          <w:rFonts w:ascii="Times New Roman" w:eastAsia="Calibri" w:hAnsi="Times New Roman" w:cs="Times New Roman"/>
          <w:b/>
          <w:i/>
          <w:sz w:val="20"/>
          <w:szCs w:val="20"/>
        </w:rPr>
        <w:t xml:space="preserve"> April 2024</w:t>
      </w:r>
    </w:p>
    <w:p w14:paraId="0DD0000D" w14:textId="77777777" w:rsidR="003C766B" w:rsidRPr="003C766B" w:rsidRDefault="00A85AD5" w:rsidP="003C766B">
      <w:pPr>
        <w:jc w:val="center"/>
        <w:rPr>
          <w:rFonts w:ascii="Times New Roman" w:hAnsi="Times New Roman" w:cs="Times New Roman"/>
          <w:b/>
          <w:sz w:val="20"/>
          <w:szCs w:val="20"/>
        </w:rPr>
      </w:pPr>
      <w:r>
        <w:rPr>
          <w:rFonts w:ascii="Times New Roman" w:eastAsia="Calibri" w:hAnsi="Times New Roman" w:cs="Times New Roman"/>
          <w:b/>
          <w:i/>
          <w:sz w:val="20"/>
          <w:szCs w:val="20"/>
        </w:rPr>
        <w:t>Accepted 25</w:t>
      </w:r>
      <w:r w:rsidR="003C766B" w:rsidRPr="003C766B">
        <w:rPr>
          <w:rFonts w:ascii="Times New Roman" w:eastAsia="Calibri" w:hAnsi="Times New Roman" w:cs="Times New Roman"/>
          <w:b/>
          <w:i/>
          <w:sz w:val="20"/>
          <w:szCs w:val="20"/>
          <w:vertAlign w:val="superscript"/>
        </w:rPr>
        <w:t xml:space="preserve">th </w:t>
      </w:r>
      <w:r w:rsidR="003C766B" w:rsidRPr="003C766B">
        <w:rPr>
          <w:rFonts w:ascii="Times New Roman" w:eastAsia="Calibri" w:hAnsi="Times New Roman" w:cs="Times New Roman"/>
          <w:b/>
          <w:i/>
          <w:sz w:val="20"/>
          <w:szCs w:val="20"/>
        </w:rPr>
        <w:t>April 2024</w:t>
      </w:r>
    </w:p>
    <w:p w14:paraId="7F9EB362" w14:textId="77777777" w:rsidR="003C766B" w:rsidRPr="003C766B" w:rsidRDefault="003C766B" w:rsidP="006A26A8">
      <w:pPr>
        <w:rPr>
          <w:rFonts w:ascii="Times New Roman" w:hAnsi="Times New Roman" w:cs="Times New Roman"/>
          <w:b/>
          <w:sz w:val="20"/>
          <w:szCs w:val="20"/>
        </w:rPr>
      </w:pPr>
    </w:p>
    <w:p w14:paraId="0654AD71" w14:textId="77777777" w:rsidR="00A95E27" w:rsidRDefault="00A95E27" w:rsidP="003C766B">
      <w:pPr>
        <w:jc w:val="center"/>
        <w:rPr>
          <w:rFonts w:ascii="Times New Roman" w:hAnsi="Times New Roman" w:cs="Times New Roman"/>
          <w:b/>
          <w:sz w:val="20"/>
          <w:szCs w:val="20"/>
        </w:rPr>
      </w:pPr>
    </w:p>
    <w:p w14:paraId="798E7ED2" w14:textId="77777777" w:rsidR="00A95E27" w:rsidRDefault="00A95E27" w:rsidP="003C766B">
      <w:pPr>
        <w:jc w:val="center"/>
        <w:rPr>
          <w:rFonts w:ascii="Times New Roman" w:hAnsi="Times New Roman" w:cs="Times New Roman"/>
          <w:b/>
          <w:sz w:val="20"/>
          <w:szCs w:val="20"/>
        </w:rPr>
      </w:pPr>
    </w:p>
    <w:p w14:paraId="6AA43606" w14:textId="77777777" w:rsidR="00A95E27" w:rsidRDefault="00A95E27" w:rsidP="003C766B">
      <w:pPr>
        <w:jc w:val="center"/>
        <w:rPr>
          <w:rFonts w:ascii="Times New Roman" w:hAnsi="Times New Roman" w:cs="Times New Roman"/>
          <w:b/>
          <w:sz w:val="20"/>
          <w:szCs w:val="20"/>
        </w:rPr>
      </w:pPr>
    </w:p>
    <w:p w14:paraId="38B96836" w14:textId="77777777" w:rsidR="00A95E27" w:rsidRDefault="00A95E27" w:rsidP="003C766B">
      <w:pPr>
        <w:jc w:val="center"/>
        <w:rPr>
          <w:rFonts w:ascii="Times New Roman" w:hAnsi="Times New Roman" w:cs="Times New Roman"/>
          <w:b/>
          <w:sz w:val="20"/>
          <w:szCs w:val="20"/>
        </w:rPr>
      </w:pPr>
    </w:p>
    <w:p w14:paraId="3BDFA5E7" w14:textId="77777777" w:rsidR="00A95E27" w:rsidRDefault="00A95E27" w:rsidP="003C766B">
      <w:pPr>
        <w:jc w:val="center"/>
        <w:rPr>
          <w:rFonts w:ascii="Times New Roman" w:hAnsi="Times New Roman" w:cs="Times New Roman"/>
          <w:b/>
          <w:sz w:val="20"/>
          <w:szCs w:val="20"/>
        </w:rPr>
      </w:pPr>
    </w:p>
    <w:p w14:paraId="0DEC50EF" w14:textId="77777777" w:rsidR="00A95E27" w:rsidRDefault="00A95E27" w:rsidP="003C766B">
      <w:pPr>
        <w:jc w:val="center"/>
        <w:rPr>
          <w:rFonts w:ascii="Times New Roman" w:hAnsi="Times New Roman" w:cs="Times New Roman"/>
          <w:b/>
          <w:sz w:val="20"/>
          <w:szCs w:val="20"/>
        </w:rPr>
      </w:pPr>
    </w:p>
    <w:p w14:paraId="3DE99546" w14:textId="77777777" w:rsidR="00A95E27" w:rsidRDefault="00A95E27" w:rsidP="003C766B">
      <w:pPr>
        <w:jc w:val="center"/>
        <w:rPr>
          <w:rFonts w:ascii="Times New Roman" w:hAnsi="Times New Roman" w:cs="Times New Roman"/>
          <w:b/>
          <w:sz w:val="20"/>
          <w:szCs w:val="20"/>
        </w:rPr>
      </w:pPr>
    </w:p>
    <w:p w14:paraId="45107DF7" w14:textId="77777777" w:rsidR="00A95E27" w:rsidRDefault="00A95E27" w:rsidP="003C766B">
      <w:pPr>
        <w:jc w:val="center"/>
        <w:rPr>
          <w:rFonts w:ascii="Times New Roman" w:hAnsi="Times New Roman" w:cs="Times New Roman"/>
          <w:b/>
          <w:sz w:val="20"/>
          <w:szCs w:val="20"/>
        </w:rPr>
      </w:pPr>
    </w:p>
    <w:p w14:paraId="24BD36E9" w14:textId="77777777" w:rsidR="00A95E27" w:rsidRDefault="00A95E27" w:rsidP="003C766B">
      <w:pPr>
        <w:jc w:val="center"/>
        <w:rPr>
          <w:rFonts w:ascii="Times New Roman" w:hAnsi="Times New Roman" w:cs="Times New Roman"/>
          <w:b/>
          <w:sz w:val="20"/>
          <w:szCs w:val="20"/>
        </w:rPr>
      </w:pPr>
    </w:p>
    <w:p w14:paraId="09F05BBE" w14:textId="77777777" w:rsidR="00A95E27" w:rsidRDefault="00A95E27" w:rsidP="003C766B">
      <w:pPr>
        <w:jc w:val="center"/>
        <w:rPr>
          <w:rFonts w:ascii="Times New Roman" w:hAnsi="Times New Roman" w:cs="Times New Roman"/>
          <w:b/>
          <w:sz w:val="20"/>
          <w:szCs w:val="20"/>
        </w:rPr>
      </w:pPr>
    </w:p>
    <w:p w14:paraId="64FC4C5B" w14:textId="77777777" w:rsidR="00A95E27" w:rsidRDefault="00A95E27" w:rsidP="003C766B">
      <w:pPr>
        <w:jc w:val="center"/>
        <w:rPr>
          <w:rFonts w:ascii="Times New Roman" w:hAnsi="Times New Roman" w:cs="Times New Roman"/>
          <w:b/>
          <w:sz w:val="20"/>
          <w:szCs w:val="20"/>
        </w:rPr>
      </w:pPr>
    </w:p>
    <w:p w14:paraId="3E0A3213" w14:textId="77777777" w:rsidR="00A95E27" w:rsidRDefault="00A95E27" w:rsidP="003C766B">
      <w:pPr>
        <w:jc w:val="center"/>
        <w:rPr>
          <w:rFonts w:ascii="Times New Roman" w:hAnsi="Times New Roman" w:cs="Times New Roman"/>
          <w:b/>
          <w:sz w:val="20"/>
          <w:szCs w:val="20"/>
        </w:rPr>
      </w:pPr>
    </w:p>
    <w:p w14:paraId="282FD5C6" w14:textId="77777777" w:rsidR="00A95E27" w:rsidRDefault="00A95E27" w:rsidP="003C766B">
      <w:pPr>
        <w:jc w:val="center"/>
        <w:rPr>
          <w:rFonts w:ascii="Times New Roman" w:hAnsi="Times New Roman" w:cs="Times New Roman"/>
          <w:b/>
          <w:sz w:val="20"/>
          <w:szCs w:val="20"/>
        </w:rPr>
      </w:pPr>
    </w:p>
    <w:p w14:paraId="4E28E2B9" w14:textId="77777777" w:rsidR="00A95E27" w:rsidRDefault="00A95E27" w:rsidP="003C766B">
      <w:pPr>
        <w:jc w:val="center"/>
        <w:rPr>
          <w:rFonts w:ascii="Times New Roman" w:hAnsi="Times New Roman" w:cs="Times New Roman"/>
          <w:b/>
          <w:sz w:val="20"/>
          <w:szCs w:val="20"/>
        </w:rPr>
      </w:pPr>
    </w:p>
    <w:p w14:paraId="118EAC3A" w14:textId="77777777" w:rsidR="00A95E27" w:rsidRDefault="00A95E27" w:rsidP="003C766B">
      <w:pPr>
        <w:jc w:val="center"/>
        <w:rPr>
          <w:rFonts w:ascii="Times New Roman" w:hAnsi="Times New Roman" w:cs="Times New Roman"/>
          <w:b/>
          <w:sz w:val="20"/>
          <w:szCs w:val="20"/>
        </w:rPr>
      </w:pPr>
    </w:p>
    <w:p w14:paraId="2971D875" w14:textId="77777777" w:rsidR="00A95E27" w:rsidRDefault="00A95E27" w:rsidP="003C766B">
      <w:pPr>
        <w:jc w:val="center"/>
        <w:rPr>
          <w:rFonts w:ascii="Times New Roman" w:hAnsi="Times New Roman" w:cs="Times New Roman"/>
          <w:b/>
          <w:sz w:val="20"/>
          <w:szCs w:val="20"/>
        </w:rPr>
      </w:pPr>
    </w:p>
    <w:p w14:paraId="0F89BA80" w14:textId="77777777" w:rsidR="00A95E27" w:rsidRDefault="00A95E27" w:rsidP="003C766B">
      <w:pPr>
        <w:jc w:val="center"/>
        <w:rPr>
          <w:rFonts w:ascii="Times New Roman" w:hAnsi="Times New Roman" w:cs="Times New Roman"/>
          <w:b/>
          <w:sz w:val="20"/>
          <w:szCs w:val="20"/>
        </w:rPr>
      </w:pPr>
    </w:p>
    <w:p w14:paraId="31C48A9B" w14:textId="77777777" w:rsidR="00A95E27" w:rsidRDefault="00A95E27" w:rsidP="003C766B">
      <w:pPr>
        <w:jc w:val="center"/>
        <w:rPr>
          <w:rFonts w:ascii="Times New Roman" w:hAnsi="Times New Roman" w:cs="Times New Roman"/>
          <w:b/>
          <w:sz w:val="20"/>
          <w:szCs w:val="20"/>
        </w:rPr>
      </w:pPr>
    </w:p>
    <w:p w14:paraId="5C06286F" w14:textId="77777777" w:rsidR="00A95E27" w:rsidRDefault="00A95E27" w:rsidP="003C766B">
      <w:pPr>
        <w:jc w:val="center"/>
        <w:rPr>
          <w:rFonts w:ascii="Times New Roman" w:hAnsi="Times New Roman" w:cs="Times New Roman"/>
          <w:b/>
          <w:sz w:val="20"/>
          <w:szCs w:val="20"/>
        </w:rPr>
      </w:pPr>
    </w:p>
    <w:p w14:paraId="734A1924" w14:textId="77777777" w:rsidR="003C766B" w:rsidRPr="003C766B" w:rsidRDefault="003C766B" w:rsidP="003C766B">
      <w:pPr>
        <w:jc w:val="center"/>
        <w:rPr>
          <w:rFonts w:ascii="Times New Roman" w:hAnsi="Times New Roman" w:cs="Times New Roman"/>
          <w:b/>
          <w:sz w:val="20"/>
          <w:szCs w:val="20"/>
        </w:rPr>
      </w:pPr>
      <w:r w:rsidRPr="003C766B">
        <w:rPr>
          <w:rFonts w:ascii="Times New Roman" w:hAnsi="Times New Roman" w:cs="Times New Roman"/>
          <w:b/>
          <w:sz w:val="20"/>
          <w:szCs w:val="20"/>
        </w:rPr>
        <w:lastRenderedPageBreak/>
        <w:t>Abstract</w:t>
      </w:r>
    </w:p>
    <w:p w14:paraId="7CB36CB7" w14:textId="77777777" w:rsidR="00E14FA4" w:rsidRDefault="003C766B" w:rsidP="003C766B">
      <w:pPr>
        <w:jc w:val="both"/>
        <w:rPr>
          <w:rFonts w:ascii="Times New Roman" w:hAnsi="Times New Roman" w:cs="Times New Roman"/>
          <w:sz w:val="20"/>
          <w:szCs w:val="20"/>
        </w:rPr>
      </w:pPr>
      <w:r w:rsidRPr="003C766B">
        <w:rPr>
          <w:rFonts w:ascii="Times New Roman" w:hAnsi="Times New Roman" w:cs="Times New Roman"/>
          <w:b/>
          <w:sz w:val="20"/>
          <w:szCs w:val="20"/>
        </w:rPr>
        <w:t>Purpose:</w:t>
      </w:r>
      <w:r w:rsidRPr="003C766B">
        <w:rPr>
          <w:rFonts w:ascii="Times New Roman" w:hAnsi="Times New Roman" w:cs="Times New Roman"/>
          <w:sz w:val="20"/>
          <w:szCs w:val="20"/>
        </w:rPr>
        <w:t xml:space="preserve"> The aim of the study was to analyze the </w:t>
      </w:r>
      <w:r w:rsidR="00E14FA4" w:rsidRPr="00E14FA4">
        <w:rPr>
          <w:rFonts w:ascii="Times New Roman" w:hAnsi="Times New Roman" w:cs="Times New Roman"/>
          <w:sz w:val="20"/>
          <w:szCs w:val="20"/>
        </w:rPr>
        <w:t>impact of financial regulations on insurance company profitability in Morocco</w:t>
      </w:r>
      <w:r w:rsidR="00E14FA4">
        <w:rPr>
          <w:rFonts w:ascii="Times New Roman" w:hAnsi="Times New Roman" w:cs="Times New Roman"/>
          <w:sz w:val="20"/>
          <w:szCs w:val="20"/>
        </w:rPr>
        <w:t>.</w:t>
      </w:r>
    </w:p>
    <w:p w14:paraId="0A5EA564" w14:textId="77777777" w:rsidR="003C766B" w:rsidRPr="003C766B" w:rsidRDefault="003C766B" w:rsidP="003C766B">
      <w:pPr>
        <w:jc w:val="both"/>
        <w:rPr>
          <w:rFonts w:ascii="Times New Roman" w:hAnsi="Times New Roman" w:cs="Times New Roman"/>
          <w:sz w:val="20"/>
          <w:szCs w:val="20"/>
        </w:rPr>
      </w:pPr>
      <w:r w:rsidRPr="003C766B">
        <w:rPr>
          <w:rFonts w:ascii="Times New Roman" w:hAnsi="Times New Roman" w:cs="Times New Roman"/>
          <w:b/>
          <w:sz w:val="20"/>
          <w:szCs w:val="20"/>
        </w:rPr>
        <w:t>Methodology:</w:t>
      </w:r>
      <w:r w:rsidRPr="003C766B">
        <w:rPr>
          <w:rFonts w:ascii="Times New Roman" w:hAnsi="Times New Roman" w:cs="Times New Roman"/>
          <w:sz w:val="20"/>
          <w:szCs w:val="20"/>
        </w:rPr>
        <w:t xml:space="preserve"> This study adopted a desk methodology. A desk study research design is commonly known as secondary data collection. This is basically collecting data from existing resources preferably because of its low cost advantage as compared to a field research. Our current study looked into already published studies and reports as the data was easily accessed through online journals and libraries.</w:t>
      </w:r>
    </w:p>
    <w:p w14:paraId="6BFB9902" w14:textId="77777777" w:rsidR="00E14FA4" w:rsidRDefault="003C766B" w:rsidP="00E14FA4">
      <w:pPr>
        <w:jc w:val="both"/>
        <w:rPr>
          <w:rFonts w:ascii="Times New Roman" w:hAnsi="Times New Roman" w:cs="Times New Roman"/>
          <w:sz w:val="20"/>
          <w:szCs w:val="20"/>
        </w:rPr>
      </w:pPr>
      <w:r w:rsidRPr="003C766B">
        <w:rPr>
          <w:rFonts w:ascii="Times New Roman" w:hAnsi="Times New Roman" w:cs="Times New Roman"/>
          <w:b/>
          <w:sz w:val="20"/>
          <w:szCs w:val="20"/>
        </w:rPr>
        <w:t>Findings:</w:t>
      </w:r>
      <w:r w:rsidRPr="003C766B">
        <w:rPr>
          <w:rFonts w:ascii="Times New Roman" w:hAnsi="Times New Roman" w:cs="Times New Roman"/>
          <w:sz w:val="20"/>
          <w:szCs w:val="20"/>
        </w:rPr>
        <w:t xml:space="preserve"> </w:t>
      </w:r>
      <w:r w:rsidR="00E14FA4" w:rsidRPr="00E14FA4">
        <w:rPr>
          <w:rFonts w:ascii="Times New Roman" w:hAnsi="Times New Roman" w:cs="Times New Roman"/>
          <w:sz w:val="20"/>
          <w:szCs w:val="20"/>
        </w:rPr>
        <w:t>Financial regulations in Morocco exert a significant influence on insurance company profitability by enforcing rigorous risk management practices and ensuring compliance with solvency and investment guidelines. These regulations foster market stability, promote fair competition, and encourage insurers to innovate in product development and operational efficiency. Adapting to regulatory changes and economic conditions is essential for insurers seeking to optimize processes and investments, thereby enhancing profitability through strategic management and innovation.</w:t>
      </w:r>
    </w:p>
    <w:p w14:paraId="2E29DDF6" w14:textId="77777777" w:rsidR="00E14FA4" w:rsidRDefault="003C766B" w:rsidP="00E14FA4">
      <w:pPr>
        <w:jc w:val="both"/>
        <w:rPr>
          <w:rFonts w:ascii="Times New Roman" w:hAnsi="Times New Roman" w:cs="Times New Roman"/>
          <w:sz w:val="20"/>
          <w:szCs w:val="20"/>
        </w:rPr>
      </w:pPr>
      <w:r w:rsidRPr="003C766B">
        <w:rPr>
          <w:rFonts w:ascii="Times New Roman" w:hAnsi="Times New Roman" w:cs="Times New Roman"/>
          <w:b/>
          <w:sz w:val="20"/>
          <w:szCs w:val="20"/>
        </w:rPr>
        <w:t>Unique Contribution to Theory, Practice and Policy:</w:t>
      </w:r>
      <w:r w:rsidRPr="003C766B">
        <w:rPr>
          <w:rFonts w:ascii="Times New Roman" w:hAnsi="Times New Roman" w:cs="Times New Roman"/>
          <w:sz w:val="20"/>
          <w:szCs w:val="20"/>
        </w:rPr>
        <w:t xml:space="preserve"> </w:t>
      </w:r>
      <w:r w:rsidR="00E14FA4" w:rsidRPr="00E14FA4">
        <w:rPr>
          <w:rFonts w:ascii="Times New Roman" w:hAnsi="Times New Roman" w:cs="Times New Roman"/>
          <w:sz w:val="20"/>
          <w:szCs w:val="20"/>
        </w:rPr>
        <w:t>Agency theory, transaction cost economics &amp; resource dependency theory</w:t>
      </w:r>
      <w:r w:rsidR="00E14FA4">
        <w:rPr>
          <w:rFonts w:ascii="Times New Roman" w:hAnsi="Times New Roman" w:cs="Times New Roman"/>
          <w:sz w:val="20"/>
          <w:szCs w:val="20"/>
        </w:rPr>
        <w:t xml:space="preserve"> </w:t>
      </w:r>
      <w:r w:rsidRPr="003C766B">
        <w:rPr>
          <w:rFonts w:ascii="Times New Roman" w:hAnsi="Times New Roman" w:cs="Times New Roman"/>
          <w:sz w:val="20"/>
          <w:szCs w:val="20"/>
        </w:rPr>
        <w:t xml:space="preserve">may be used to anchor future studies on analyze </w:t>
      </w:r>
      <w:r w:rsidR="00E14FA4" w:rsidRPr="00E14FA4">
        <w:rPr>
          <w:rFonts w:ascii="Times New Roman" w:hAnsi="Times New Roman" w:cs="Times New Roman"/>
          <w:sz w:val="20"/>
          <w:szCs w:val="20"/>
        </w:rPr>
        <w:t>impact of financial regulations on insurance company profitability in Morocco</w:t>
      </w:r>
      <w:r w:rsidRPr="003C766B">
        <w:rPr>
          <w:rFonts w:ascii="Times New Roman" w:hAnsi="Times New Roman" w:cs="Times New Roman"/>
          <w:sz w:val="20"/>
          <w:szCs w:val="20"/>
        </w:rPr>
        <w:t xml:space="preserve">. </w:t>
      </w:r>
      <w:r w:rsidR="00E14FA4" w:rsidRPr="00E14FA4">
        <w:rPr>
          <w:rFonts w:ascii="Times New Roman" w:hAnsi="Times New Roman" w:cs="Times New Roman"/>
          <w:sz w:val="20"/>
          <w:szCs w:val="20"/>
        </w:rPr>
        <w:t xml:space="preserve">Encourage insurers to adopt adaptive risk management strategies that align with regulatory requirements while optimizing profitability. Advocate for greater harmonization of regulatory standards across jurisdictions to minimize compliance complexities for insurers operating in multiple markets. </w:t>
      </w:r>
    </w:p>
    <w:p w14:paraId="1734E024" w14:textId="77777777" w:rsidR="003C766B" w:rsidRPr="003C766B" w:rsidRDefault="003C766B" w:rsidP="00A95E27">
      <w:pPr>
        <w:rPr>
          <w:rFonts w:ascii="Times New Roman" w:hAnsi="Times New Roman" w:cs="Times New Roman"/>
          <w:i/>
          <w:sz w:val="20"/>
          <w:szCs w:val="20"/>
        </w:rPr>
      </w:pPr>
      <w:r w:rsidRPr="003C766B">
        <w:rPr>
          <w:rFonts w:ascii="Times New Roman" w:hAnsi="Times New Roman" w:cs="Times New Roman"/>
          <w:b/>
          <w:sz w:val="20"/>
          <w:szCs w:val="20"/>
        </w:rPr>
        <w:t>Keywords:</w:t>
      </w:r>
      <w:r w:rsidRPr="003C766B">
        <w:rPr>
          <w:rFonts w:ascii="Times New Roman" w:hAnsi="Times New Roman" w:cs="Times New Roman"/>
          <w:i/>
          <w:sz w:val="20"/>
          <w:szCs w:val="20"/>
        </w:rPr>
        <w:t xml:space="preserve"> </w:t>
      </w:r>
      <w:r w:rsidR="00E14FA4">
        <w:rPr>
          <w:rFonts w:ascii="Times New Roman" w:hAnsi="Times New Roman" w:cs="Times New Roman"/>
          <w:i/>
          <w:sz w:val="20"/>
          <w:szCs w:val="20"/>
        </w:rPr>
        <w:t xml:space="preserve">Financial Regulations, </w:t>
      </w:r>
      <w:r w:rsidR="00E14FA4" w:rsidRPr="00E14FA4">
        <w:rPr>
          <w:rFonts w:ascii="Times New Roman" w:hAnsi="Times New Roman" w:cs="Times New Roman"/>
          <w:i/>
          <w:sz w:val="20"/>
          <w:szCs w:val="20"/>
        </w:rPr>
        <w:t xml:space="preserve">Insurance Company Profitability </w:t>
      </w:r>
    </w:p>
    <w:p w14:paraId="62877A47" w14:textId="77777777" w:rsidR="003C766B" w:rsidRPr="003C766B" w:rsidRDefault="003C766B" w:rsidP="003C766B">
      <w:pPr>
        <w:rPr>
          <w:rFonts w:ascii="Times New Roman" w:hAnsi="Times New Roman" w:cs="Times New Roman"/>
          <w:sz w:val="20"/>
          <w:szCs w:val="20"/>
        </w:rPr>
      </w:pPr>
      <w:r w:rsidRPr="003C766B">
        <w:rPr>
          <w:rFonts w:ascii="Times New Roman" w:hAnsi="Times New Roman" w:cs="Times New Roman"/>
          <w:i/>
          <w:sz w:val="20"/>
          <w:szCs w:val="20"/>
        </w:rPr>
        <w:t>©2024 by the Authors. This Article is an open access article distributed under the terms and conditions of the Creative Commons Attribution (CC BY) license (http://creativecommons.org/licenses/by/4.0/)</w:t>
      </w:r>
    </w:p>
    <w:p w14:paraId="026ACE4A" w14:textId="77777777" w:rsidR="00A95E27" w:rsidRDefault="00A95E27" w:rsidP="00BC077B">
      <w:pPr>
        <w:spacing w:before="100" w:after="100" w:line="240" w:lineRule="auto"/>
        <w:jc w:val="both"/>
        <w:rPr>
          <w:rFonts w:ascii="Times New Roman" w:hAnsi="Times New Roman" w:cs="Times New Roman"/>
          <w:b/>
          <w:sz w:val="24"/>
          <w:szCs w:val="24"/>
        </w:rPr>
        <w:sectPr w:rsidR="00A95E27" w:rsidSect="00A95E27">
          <w:type w:val="continuous"/>
          <w:pgSz w:w="12240" w:h="15840"/>
          <w:pgMar w:top="1440" w:right="1440" w:bottom="1440" w:left="1440" w:header="720" w:footer="720" w:gutter="0"/>
          <w:cols w:num="2" w:space="720"/>
          <w:docGrid w:linePitch="360"/>
        </w:sectPr>
      </w:pPr>
    </w:p>
    <w:p w14:paraId="56788DDA" w14:textId="77777777" w:rsidR="00BC077B" w:rsidRDefault="00BC077B" w:rsidP="00BC077B">
      <w:pPr>
        <w:spacing w:before="100" w:after="100" w:line="240" w:lineRule="auto"/>
        <w:jc w:val="both"/>
        <w:rPr>
          <w:rFonts w:ascii="Times New Roman" w:hAnsi="Times New Roman" w:cs="Times New Roman"/>
          <w:b/>
          <w:sz w:val="24"/>
          <w:szCs w:val="24"/>
        </w:rPr>
      </w:pPr>
    </w:p>
    <w:p w14:paraId="69E6BB0A" w14:textId="77777777" w:rsidR="007F0DCB" w:rsidRPr="00BC077B" w:rsidRDefault="007F0DCB" w:rsidP="00BC077B">
      <w:pPr>
        <w:spacing w:before="100" w:after="100" w:line="240" w:lineRule="auto"/>
        <w:jc w:val="both"/>
        <w:rPr>
          <w:rFonts w:ascii="Times New Roman" w:hAnsi="Times New Roman" w:cs="Times New Roman"/>
          <w:b/>
          <w:sz w:val="24"/>
          <w:szCs w:val="24"/>
        </w:rPr>
      </w:pPr>
      <w:r w:rsidRPr="00BC077B">
        <w:rPr>
          <w:rFonts w:ascii="Times New Roman" w:hAnsi="Times New Roman" w:cs="Times New Roman"/>
          <w:b/>
          <w:sz w:val="24"/>
          <w:szCs w:val="24"/>
        </w:rPr>
        <w:lastRenderedPageBreak/>
        <w:t>INTRODUCTION</w:t>
      </w:r>
    </w:p>
    <w:p w14:paraId="53A24D1E" w14:textId="77777777" w:rsidR="007F0DCB" w:rsidRPr="00BC077B" w:rsidRDefault="007F0DCB" w:rsidP="00BC077B">
      <w:pPr>
        <w:spacing w:before="100" w:after="100" w:line="240" w:lineRule="auto"/>
        <w:jc w:val="both"/>
        <w:rPr>
          <w:rFonts w:ascii="Times New Roman" w:hAnsi="Times New Roman" w:cs="Times New Roman"/>
          <w:sz w:val="24"/>
          <w:szCs w:val="24"/>
        </w:rPr>
      </w:pPr>
      <w:r w:rsidRPr="00BC077B">
        <w:rPr>
          <w:rFonts w:ascii="Times New Roman" w:hAnsi="Times New Roman" w:cs="Times New Roman"/>
          <w:sz w:val="24"/>
          <w:szCs w:val="24"/>
        </w:rPr>
        <w:t>Profitability metrics are crucial indicators for assessing the financial health and performance of insurance companies. In developed economies like the USA and Japan, insurance companies typically measure profitability through metrics such as return on assets (ROA) and net profit margin (NPM). For instance, in the USA, ROA for insurance companies has shown a steady trend, with top performers consistently achieving higher returns due to effective risk management and investment strategies (Smith, 2019). Net profit margins have also seen variation but generally reflect the industry's ability to manage operational costs and underwriting profitability (Johnson, 2018).</w:t>
      </w:r>
    </w:p>
    <w:p w14:paraId="1475539D" w14:textId="77777777" w:rsidR="007F0DCB" w:rsidRPr="00BC077B" w:rsidRDefault="007F0DCB" w:rsidP="00BC077B">
      <w:pPr>
        <w:spacing w:before="100" w:after="100" w:line="240" w:lineRule="auto"/>
        <w:jc w:val="both"/>
        <w:rPr>
          <w:rFonts w:ascii="Times New Roman" w:hAnsi="Times New Roman" w:cs="Times New Roman"/>
          <w:sz w:val="24"/>
          <w:szCs w:val="24"/>
        </w:rPr>
      </w:pPr>
      <w:r w:rsidRPr="00BC077B">
        <w:rPr>
          <w:rFonts w:ascii="Times New Roman" w:hAnsi="Times New Roman" w:cs="Times New Roman"/>
          <w:sz w:val="24"/>
          <w:szCs w:val="24"/>
        </w:rPr>
        <w:t>In Asian economies such as South Korea and Singapore, insurance companies experience robust profitability metrics driven by strong economic growth and regulatory stability. ROA tends to be higher due to effective risk management and investment strategies tailored to local market conditions (Kim, 2020). NPM reflects efficient cost management and competitive premium pricing strategies amidst growing insurance penetration (Lee, 2019). Insurers in Asia leverage technological advancements to streamline operations and expand market reach, contributing to sustained profitability in the region. In European countries like Germany and France, insurance profitability metrics are influenced by regulatory frameworks like Solvency II and economic conditions within the Eurozone. Return on assets (ROA) reflects stable investment returns and efficient capital management strategies (Schulz, 2020). Net profit margins (NPM) vary but generally benefit from diversified revenue streams and stringent cost controls (Müller, 2019). Insurers in these markets focus on sustainability and digital transformation to maintain profitability amidst competitive pressures and changing consumer behaviors (Leclerc, 2018).</w:t>
      </w:r>
    </w:p>
    <w:p w14:paraId="74156E19" w14:textId="77777777" w:rsidR="007F0DCB" w:rsidRPr="00BC077B" w:rsidRDefault="007F0DCB" w:rsidP="00BC077B">
      <w:pPr>
        <w:spacing w:before="100" w:after="100" w:line="240" w:lineRule="auto"/>
        <w:jc w:val="both"/>
        <w:rPr>
          <w:rFonts w:ascii="Times New Roman" w:hAnsi="Times New Roman" w:cs="Times New Roman"/>
          <w:sz w:val="24"/>
          <w:szCs w:val="24"/>
        </w:rPr>
      </w:pPr>
      <w:r w:rsidRPr="00BC077B">
        <w:rPr>
          <w:rFonts w:ascii="Times New Roman" w:hAnsi="Times New Roman" w:cs="Times New Roman"/>
          <w:sz w:val="24"/>
          <w:szCs w:val="24"/>
        </w:rPr>
        <w:t>In developing economies such as Brazil and India, insurance companies face different challenges and opportunities. ROA metrics in these markets often fluctuate more due to economic volatility and regulatory changes impacting investment returns and underwriting results (Silva, 2017). Net profit margins tend to be narrower compared to developed markets, influenced by higher operational costs and lower premium pricing power (Patel, 2016). Despite these challenges, growth prospects in these regions attract insurers seeking to capitalize on expanding middle-class demographics and rising insurance penetration. In Asian economies such as South Korea and Singapore, insurance companies experience robust profitability metrics driven by strong economic growth and regulatory stability. ROA tends to be higher due to effective risk management and investment strategies tailored to local market conditions (Kim, 2020). NPM reflects efficient cost management and competitive premium pricing strategies amidst growing insurance penetration (Lee, 2019). Insurers in Asia leverage technological advancements to streamline operations and expand market reach, contributing to sustained profitability in the region.</w:t>
      </w:r>
    </w:p>
    <w:p w14:paraId="752D9A88" w14:textId="77777777" w:rsidR="007F0DCB" w:rsidRPr="00BC077B" w:rsidRDefault="007F0DCB" w:rsidP="00BC077B">
      <w:pPr>
        <w:spacing w:before="100" w:after="100" w:line="240" w:lineRule="auto"/>
        <w:jc w:val="both"/>
        <w:rPr>
          <w:rFonts w:ascii="Times New Roman" w:hAnsi="Times New Roman" w:cs="Times New Roman"/>
          <w:sz w:val="24"/>
          <w:szCs w:val="24"/>
        </w:rPr>
      </w:pPr>
      <w:r w:rsidRPr="00BC077B">
        <w:rPr>
          <w:rFonts w:ascii="Times New Roman" w:hAnsi="Times New Roman" w:cs="Times New Roman"/>
          <w:sz w:val="24"/>
          <w:szCs w:val="24"/>
        </w:rPr>
        <w:t>In the Australasian region, including Australia and New Zealand, insurance profitability metrics show resilience amidst economic fluctuations and natural disaster risks. ROA metrics are influenced by investment performance and underwriting discipline tailored to local risk profiles (Jones, 2021). NPM indicators reflect efficiency gains from digital innovation and proactive risk management practices (Smith, 2020). Insurers in these markets emphasize customer-centric strategies and climate resilience initiatives to sustain profitability in a challenging environment (Brown, 2019).</w:t>
      </w:r>
    </w:p>
    <w:p w14:paraId="718E5182" w14:textId="77777777" w:rsidR="007F0DCB" w:rsidRPr="00BC077B" w:rsidRDefault="007F0DCB" w:rsidP="00BC077B">
      <w:pPr>
        <w:spacing w:before="100" w:after="100" w:line="240" w:lineRule="auto"/>
        <w:jc w:val="both"/>
        <w:rPr>
          <w:rFonts w:ascii="Times New Roman" w:hAnsi="Times New Roman" w:cs="Times New Roman"/>
          <w:sz w:val="24"/>
          <w:szCs w:val="24"/>
        </w:rPr>
      </w:pPr>
      <w:r w:rsidRPr="00BC077B">
        <w:rPr>
          <w:rFonts w:ascii="Times New Roman" w:hAnsi="Times New Roman" w:cs="Times New Roman"/>
          <w:sz w:val="24"/>
          <w:szCs w:val="24"/>
        </w:rPr>
        <w:lastRenderedPageBreak/>
        <w:t>In Middle Eastern countries like UAE and Saudi Arabia, insurance profitability metrics are influenced by oil prices, economic diversification efforts, and regulatory reforms. ROA metrics reflect strategic investments in infrastructure and financial markets, with varying impacts from regional geopolitical dynamics (Ali, 2017). NPM indicators show resilience amidst economic reforms and increasing insurance demand from expanding populations and infrastructure projects (Khan, 2018). Insurers in these markets focus on innovation in Sharia-compliant products and digital services to enhance profitability and customer engagement.</w:t>
      </w:r>
    </w:p>
    <w:p w14:paraId="7BD9DD09" w14:textId="77777777" w:rsidR="007F0DCB" w:rsidRPr="00BC077B" w:rsidRDefault="007F0DCB" w:rsidP="00BC077B">
      <w:pPr>
        <w:spacing w:before="100" w:after="100" w:line="240" w:lineRule="auto"/>
        <w:jc w:val="both"/>
        <w:rPr>
          <w:rFonts w:ascii="Times New Roman" w:hAnsi="Times New Roman" w:cs="Times New Roman"/>
          <w:sz w:val="24"/>
          <w:szCs w:val="24"/>
        </w:rPr>
      </w:pPr>
      <w:r w:rsidRPr="00BC077B">
        <w:rPr>
          <w:rFonts w:ascii="Times New Roman" w:hAnsi="Times New Roman" w:cs="Times New Roman"/>
          <w:sz w:val="24"/>
          <w:szCs w:val="24"/>
        </w:rPr>
        <w:t>In North African countries like Egypt and Morocco, insurance profitability metrics reflect diverse economic landscapes and regulatory reforms. ROA metrics vary with market stability and investment returns amidst regional geopolitical dynamics (Abdel-Meguid, 2019). NPM indicators face pressures from currency fluctuations and regulatory changes impacting premium pricing and claims management (Hassan, 2018). Insurers in these markets focus on expanding insurance penetration and enhancing operational efficiencies to improve profitability amid economic uncertainties (El-Sayed, 2020). In South American countries like Chile and Colombia, insurance profitability metrics are shaped by economic stability, regulatory frameworks, and regional market dynamics. Return on assets (ROA) metrics show variations influenced by investment strategies and local economic conditions (Rodriguez, 2020). Net profit margins (NPM) reflect competitive pricing pressures and operational efficiencies amidst regulatory changes (Gomez, 2019). Insurers in these markets focus on product innovation and digital transformation to enhance customer engagement and profitability amid economic uncertainties and regulatory challenges (Fernandez, 2018).</w:t>
      </w:r>
    </w:p>
    <w:p w14:paraId="7001A95D" w14:textId="77777777" w:rsidR="007F0DCB" w:rsidRPr="00BC077B" w:rsidRDefault="007F0DCB" w:rsidP="00BC077B">
      <w:pPr>
        <w:spacing w:before="100" w:after="100" w:line="240" w:lineRule="auto"/>
        <w:jc w:val="both"/>
        <w:rPr>
          <w:rFonts w:ascii="Times New Roman" w:hAnsi="Times New Roman" w:cs="Times New Roman"/>
          <w:sz w:val="24"/>
          <w:szCs w:val="24"/>
        </w:rPr>
      </w:pPr>
      <w:r w:rsidRPr="00BC077B">
        <w:rPr>
          <w:rFonts w:ascii="Times New Roman" w:hAnsi="Times New Roman" w:cs="Times New Roman"/>
          <w:sz w:val="24"/>
          <w:szCs w:val="24"/>
        </w:rPr>
        <w:t>In Eastern European countries such as Poland and Romania, insurance profitability metrics reflect post-communist economic transitions and regulatory reforms. ROA metrics show resilience amidst market integration with the European Union and investment in local economies (Kowalski, 2021). NPM indicators benefit from cost-effective operational models and diversified product portfolios catering to regional market demands (Nowak, 2020). Insurers in these markets navigate geopolitical risks and demographic shifts to sustain profitability through strategic market positioning and digital advancements (Wojcik, 2019). In Central Asian countries like Kazakhstan and Uzbekistan, insurance profitability metrics reflect emerging market dynamics and economic diversification efforts. ROA metrics vary with investment returns and regulatory developments impacting capital adequacy (Ivanov, 2019). NPM indicators face challenges from currency volatility and operational costs in expanding insurance coverage (Sultanov, 2018). Insurers in these markets focus on enhancing risk management capabilities and expanding distribution channels to capitalize on growing middle-class populations and infrastructure investments (Nazarov, 2020).</w:t>
      </w:r>
    </w:p>
    <w:p w14:paraId="0ACB41CF" w14:textId="77777777" w:rsidR="007F0DCB" w:rsidRPr="00BC077B" w:rsidRDefault="007F0DCB" w:rsidP="00BC077B">
      <w:pPr>
        <w:spacing w:before="100" w:after="100" w:line="240" w:lineRule="auto"/>
        <w:jc w:val="both"/>
        <w:rPr>
          <w:rFonts w:ascii="Times New Roman" w:hAnsi="Times New Roman" w:cs="Times New Roman"/>
          <w:sz w:val="24"/>
          <w:szCs w:val="24"/>
        </w:rPr>
      </w:pPr>
      <w:r w:rsidRPr="00BC077B">
        <w:rPr>
          <w:rFonts w:ascii="Times New Roman" w:hAnsi="Times New Roman" w:cs="Times New Roman"/>
          <w:sz w:val="24"/>
          <w:szCs w:val="24"/>
        </w:rPr>
        <w:t>In Sub-Saharan Africa, insurance profitability metrics vary significantly across countries due to diverse economic conditions and regulatory environments. Countries like Kenya and South Africa have shown improving ROA figures as insurers adapt to local market dynamics and invest in technology to enhance operational efficiency (Makau, 2020). Net profit margins in these regions reflect efforts to balance premium growth with stringent cost management amid competitive pressures and regulatory compliance (Moyo, 2018). The region presents opportunities for insurers to innovate products tailored to local needs while navigating challenges such as political instability and infrastructure constraints.</w:t>
      </w:r>
    </w:p>
    <w:p w14:paraId="32A860C4" w14:textId="77777777" w:rsidR="00992208" w:rsidRPr="00BC077B" w:rsidRDefault="00992208" w:rsidP="00BC077B">
      <w:pPr>
        <w:spacing w:before="100" w:after="100" w:line="240" w:lineRule="auto"/>
        <w:jc w:val="both"/>
        <w:rPr>
          <w:rFonts w:ascii="Times New Roman" w:hAnsi="Times New Roman" w:cs="Times New Roman"/>
          <w:sz w:val="24"/>
          <w:szCs w:val="24"/>
        </w:rPr>
      </w:pPr>
      <w:r w:rsidRPr="00BC077B">
        <w:rPr>
          <w:rFonts w:ascii="Times New Roman" w:hAnsi="Times New Roman" w:cs="Times New Roman"/>
          <w:sz w:val="24"/>
          <w:szCs w:val="24"/>
        </w:rPr>
        <w:lastRenderedPageBreak/>
        <w:t>The stringency of financial regulations refers to the strictness and comprehensiveness of rules governing financial institutions, including insurance companies. Four key quantitative measures of stringency include capital requirements, liquidity requirements, risk management standards, and regulatory compliance costs. Capital requirements mandate that insurers maintain a minimum level of capital relative to their risk exposures, ensuring they can cover potential losses. Higher capital requirements typically reduce leverage and mitigate risk but may also affect profitability metrics like return on assets (ROA) by limiting investment opportunities (Smith, 2018).</w:t>
      </w:r>
    </w:p>
    <w:p w14:paraId="00950C62" w14:textId="77777777" w:rsidR="00992208" w:rsidRPr="00BC077B" w:rsidRDefault="00992208" w:rsidP="00BC077B">
      <w:pPr>
        <w:spacing w:before="100" w:after="100" w:line="240" w:lineRule="auto"/>
        <w:jc w:val="both"/>
        <w:rPr>
          <w:rFonts w:ascii="Times New Roman" w:hAnsi="Times New Roman" w:cs="Times New Roman"/>
          <w:sz w:val="24"/>
          <w:szCs w:val="24"/>
        </w:rPr>
      </w:pPr>
      <w:r w:rsidRPr="00BC077B">
        <w:rPr>
          <w:rFonts w:ascii="Times New Roman" w:hAnsi="Times New Roman" w:cs="Times New Roman"/>
          <w:sz w:val="24"/>
          <w:szCs w:val="24"/>
        </w:rPr>
        <w:t>Liquidity requirements dictate the proportion of liquid assets insurers must hold to meet short-term obligations, impacting their ability to invest in higher-yielding but less liquid assets. Stricter liquidity standards can enhance financial stability but may constrain profitability metrics such as net profit margin (NPM) by increasing costs associated with maintaining liquid reserves (Jones, 2019). Risk management standards set guidelines for identifying, assessing, and managing risks, influencing insurers' operational efficiency and their ability to maintain profitability amidst market uncertainties (Brown, 2020). Regulatory compliance costs encompass expenses incurred to meet regulatory obligations, which can divert resources away from core business activities and impact overall profitability metrics over time (Garcia, 2021).</w:t>
      </w:r>
    </w:p>
    <w:p w14:paraId="7108C285" w14:textId="77777777" w:rsidR="007F0DCB" w:rsidRPr="00BC077B" w:rsidRDefault="007F0DCB" w:rsidP="00BC077B">
      <w:pPr>
        <w:spacing w:before="100" w:after="100" w:line="240" w:lineRule="auto"/>
        <w:jc w:val="both"/>
        <w:rPr>
          <w:rFonts w:ascii="Times New Roman" w:hAnsi="Times New Roman" w:cs="Times New Roman"/>
          <w:b/>
          <w:sz w:val="24"/>
          <w:szCs w:val="24"/>
        </w:rPr>
      </w:pPr>
      <w:r w:rsidRPr="00BC077B">
        <w:rPr>
          <w:rFonts w:ascii="Times New Roman" w:hAnsi="Times New Roman" w:cs="Times New Roman"/>
          <w:b/>
          <w:sz w:val="24"/>
          <w:szCs w:val="24"/>
        </w:rPr>
        <w:t>Problem Statement</w:t>
      </w:r>
    </w:p>
    <w:p w14:paraId="781B6DFD" w14:textId="77777777" w:rsidR="00992208" w:rsidRPr="00BC077B" w:rsidRDefault="00992208" w:rsidP="00BC077B">
      <w:pPr>
        <w:spacing w:before="100" w:after="100" w:line="240" w:lineRule="auto"/>
        <w:jc w:val="both"/>
        <w:rPr>
          <w:rFonts w:ascii="Times New Roman" w:hAnsi="Times New Roman" w:cs="Times New Roman"/>
          <w:sz w:val="24"/>
          <w:szCs w:val="24"/>
        </w:rPr>
      </w:pPr>
      <w:r w:rsidRPr="00BC077B">
        <w:rPr>
          <w:rFonts w:ascii="Times New Roman" w:hAnsi="Times New Roman" w:cs="Times New Roman"/>
          <w:sz w:val="24"/>
          <w:szCs w:val="24"/>
        </w:rPr>
        <w:t>The effectiveness of financial regulations in the insurance sector is a critical concern, as stringent regulatory frameworks can significantly impact insurers' profitability metrics such as return on assets (ROA) and net profit margin (NPM). Recent studies suggest that capital requirements, liquidity standards, risk management guidelines, and regulatory compliance costs exert varying degrees of influence on insurance companies' financial performance (Brown, 2020; Garcia, 2021; Smith, 2018). Understanding how these regulations affect profitability is essential for insurers, regulators, and policymakers to strike a balance between financial stability and industry competitiveness. However, there remains a gap in comprehensive empirical research that quantitatively measures and analyzes the direct impact of specific regulatory components on different aspects of insurance company profitability across global markets. Addressing this gap will provide valuable insights into optimizing regulatory frameworks to support sustainable growth and stability in the insurance sector.</w:t>
      </w:r>
    </w:p>
    <w:p w14:paraId="4F576A16" w14:textId="77777777" w:rsidR="007F0DCB" w:rsidRPr="00BC077B" w:rsidRDefault="007F0DCB" w:rsidP="00BC077B">
      <w:pPr>
        <w:spacing w:before="100" w:after="100" w:line="240" w:lineRule="auto"/>
        <w:jc w:val="both"/>
        <w:rPr>
          <w:rFonts w:ascii="Times New Roman" w:hAnsi="Times New Roman" w:cs="Times New Roman"/>
          <w:b/>
          <w:sz w:val="24"/>
          <w:szCs w:val="24"/>
        </w:rPr>
      </w:pPr>
      <w:r w:rsidRPr="00BC077B">
        <w:rPr>
          <w:rFonts w:ascii="Times New Roman" w:hAnsi="Times New Roman" w:cs="Times New Roman"/>
          <w:b/>
          <w:sz w:val="24"/>
          <w:szCs w:val="24"/>
        </w:rPr>
        <w:t>Theoretical Framework</w:t>
      </w:r>
    </w:p>
    <w:p w14:paraId="678DAC7A" w14:textId="77777777" w:rsidR="002064D6" w:rsidRPr="00BC077B" w:rsidRDefault="002064D6" w:rsidP="00BC077B">
      <w:pPr>
        <w:spacing w:before="100" w:after="100" w:line="240" w:lineRule="auto"/>
        <w:jc w:val="both"/>
        <w:rPr>
          <w:rFonts w:ascii="Times New Roman" w:hAnsi="Times New Roman" w:cs="Times New Roman"/>
          <w:b/>
          <w:sz w:val="24"/>
          <w:szCs w:val="24"/>
        </w:rPr>
      </w:pPr>
      <w:r w:rsidRPr="00BC077B">
        <w:rPr>
          <w:rFonts w:ascii="Times New Roman" w:hAnsi="Times New Roman" w:cs="Times New Roman"/>
          <w:b/>
          <w:sz w:val="24"/>
          <w:szCs w:val="24"/>
        </w:rPr>
        <w:t>Agency Theory</w:t>
      </w:r>
    </w:p>
    <w:p w14:paraId="411EA008" w14:textId="77777777" w:rsidR="00992208" w:rsidRPr="00E14FA4" w:rsidRDefault="00992208" w:rsidP="00BC077B">
      <w:pPr>
        <w:spacing w:before="100" w:after="100" w:line="240" w:lineRule="auto"/>
        <w:jc w:val="both"/>
        <w:rPr>
          <w:rFonts w:ascii="Times New Roman" w:hAnsi="Times New Roman" w:cs="Times New Roman"/>
          <w:sz w:val="24"/>
          <w:szCs w:val="24"/>
        </w:rPr>
      </w:pPr>
      <w:r w:rsidRPr="00BC077B">
        <w:rPr>
          <w:rFonts w:ascii="Times New Roman" w:hAnsi="Times New Roman" w:cs="Times New Roman"/>
          <w:sz w:val="24"/>
          <w:szCs w:val="24"/>
        </w:rPr>
        <w:t>Originating from Jensen and Meckling (1976), agency theory explores the relationship between principals (shareholders) and agents (management) in organizations. It posits that conflicts of interest arise when agents pursue their own interests rather than those of shareholders, leading to agency costs. In the context of insurance companies, stringent financial regulations act as mechanisms to align the interests of management with those of shareholders by prescribing transparency, accountability, and risk management practices (Jones, 2020). This theory is relevant as it helps analyze how regulatory frameworks influence decision-making processes within insurers, potentially impacting profitability metrics like return on assets (ROA) and net profit margin (NPM).</w:t>
      </w:r>
    </w:p>
    <w:p w14:paraId="10ED4B49" w14:textId="77777777" w:rsidR="00A95D22" w:rsidRDefault="00A95D22" w:rsidP="00BC077B">
      <w:pPr>
        <w:spacing w:before="100" w:after="100" w:line="240" w:lineRule="auto"/>
        <w:jc w:val="both"/>
        <w:rPr>
          <w:rFonts w:ascii="Times New Roman" w:hAnsi="Times New Roman" w:cs="Times New Roman"/>
          <w:b/>
          <w:sz w:val="24"/>
          <w:szCs w:val="24"/>
        </w:rPr>
      </w:pPr>
    </w:p>
    <w:p w14:paraId="4EEE3955" w14:textId="5DD6B512" w:rsidR="002064D6" w:rsidRPr="00BC077B" w:rsidRDefault="002064D6" w:rsidP="00BC077B">
      <w:pPr>
        <w:spacing w:before="100" w:after="100" w:line="240" w:lineRule="auto"/>
        <w:jc w:val="both"/>
        <w:rPr>
          <w:rFonts w:ascii="Times New Roman" w:hAnsi="Times New Roman" w:cs="Times New Roman"/>
          <w:b/>
          <w:sz w:val="24"/>
          <w:szCs w:val="24"/>
        </w:rPr>
      </w:pPr>
      <w:r w:rsidRPr="00BC077B">
        <w:rPr>
          <w:rFonts w:ascii="Times New Roman" w:hAnsi="Times New Roman" w:cs="Times New Roman"/>
          <w:b/>
          <w:sz w:val="24"/>
          <w:szCs w:val="24"/>
        </w:rPr>
        <w:lastRenderedPageBreak/>
        <w:t>Transaction Cost Economics</w:t>
      </w:r>
    </w:p>
    <w:p w14:paraId="241A5755" w14:textId="77777777" w:rsidR="00992208" w:rsidRPr="00BC077B" w:rsidRDefault="00992208" w:rsidP="00BC077B">
      <w:pPr>
        <w:spacing w:before="100" w:after="100" w:line="240" w:lineRule="auto"/>
        <w:jc w:val="both"/>
        <w:rPr>
          <w:rFonts w:ascii="Times New Roman" w:hAnsi="Times New Roman" w:cs="Times New Roman"/>
          <w:sz w:val="24"/>
          <w:szCs w:val="24"/>
        </w:rPr>
      </w:pPr>
      <w:r w:rsidRPr="00BC077B">
        <w:rPr>
          <w:rFonts w:ascii="Times New Roman" w:hAnsi="Times New Roman" w:cs="Times New Roman"/>
          <w:sz w:val="24"/>
          <w:szCs w:val="24"/>
        </w:rPr>
        <w:t>Coase (1937) and Williamson (1975) developed transaction cost economics to explain how organizations choose governance structures to minimize transaction costs associated with economic activities. In insurance, regulatory requirements such as capital adequacy and liquidity standards influence transaction costs related to capital sourcing, compliance, and operational efficiencies (Smith, 2019). This theory is pertinent as it helps understand how regulatory environments shape the operational landscape of insurers, affecting their profitability through increased operational costs and resource allocations.</w:t>
      </w:r>
    </w:p>
    <w:p w14:paraId="21952F79" w14:textId="77777777" w:rsidR="002064D6" w:rsidRPr="00BC077B" w:rsidRDefault="00992208" w:rsidP="00BC077B">
      <w:pPr>
        <w:spacing w:before="100" w:after="100" w:line="240" w:lineRule="auto"/>
        <w:jc w:val="both"/>
        <w:rPr>
          <w:rFonts w:ascii="Times New Roman" w:hAnsi="Times New Roman" w:cs="Times New Roman"/>
          <w:b/>
          <w:sz w:val="24"/>
          <w:szCs w:val="24"/>
        </w:rPr>
      </w:pPr>
      <w:r w:rsidRPr="00BC077B">
        <w:rPr>
          <w:rFonts w:ascii="Times New Roman" w:hAnsi="Times New Roman" w:cs="Times New Roman"/>
          <w:b/>
          <w:sz w:val="24"/>
          <w:szCs w:val="24"/>
        </w:rPr>
        <w:t>Resource Dependency Theory</w:t>
      </w:r>
    </w:p>
    <w:p w14:paraId="734AF564" w14:textId="77777777" w:rsidR="00992208" w:rsidRPr="00BC077B" w:rsidRDefault="00992208" w:rsidP="00BC077B">
      <w:pPr>
        <w:spacing w:before="100" w:after="100" w:line="240" w:lineRule="auto"/>
        <w:jc w:val="both"/>
        <w:rPr>
          <w:rFonts w:ascii="Times New Roman" w:hAnsi="Times New Roman" w:cs="Times New Roman"/>
          <w:sz w:val="24"/>
          <w:szCs w:val="24"/>
        </w:rPr>
      </w:pPr>
      <w:r w:rsidRPr="00BC077B">
        <w:rPr>
          <w:rFonts w:ascii="Times New Roman" w:hAnsi="Times New Roman" w:cs="Times New Roman"/>
          <w:sz w:val="24"/>
          <w:szCs w:val="24"/>
        </w:rPr>
        <w:t>Pfeffer and Salancik (1978) proposed resource dependency theory, which emphasizes how organizations depend on external resources and how power dynamics influence their strategies and outcomes. In the insurance sector, compliance with financial regulations is essential for maintaining access to capital markets, managing risk exposures, and ensuring operational resilience (Brown, 2021). This theory is relevant as it underscores the strategic responses of insurers to regulatory pressures, impacting profitability metrics by influencing resource allocation decisions and competitive positioning.</w:t>
      </w:r>
    </w:p>
    <w:p w14:paraId="1DB505A0" w14:textId="77777777" w:rsidR="007F0DCB" w:rsidRPr="00BC077B" w:rsidRDefault="007F0DCB" w:rsidP="00BC077B">
      <w:pPr>
        <w:spacing w:before="100" w:after="100" w:line="240" w:lineRule="auto"/>
        <w:jc w:val="both"/>
        <w:rPr>
          <w:rFonts w:ascii="Times New Roman" w:hAnsi="Times New Roman" w:cs="Times New Roman"/>
          <w:b/>
          <w:sz w:val="24"/>
          <w:szCs w:val="24"/>
        </w:rPr>
      </w:pPr>
      <w:r w:rsidRPr="00BC077B">
        <w:rPr>
          <w:rFonts w:ascii="Times New Roman" w:hAnsi="Times New Roman" w:cs="Times New Roman"/>
          <w:b/>
          <w:sz w:val="24"/>
          <w:szCs w:val="24"/>
        </w:rPr>
        <w:t>Empirical Review</w:t>
      </w:r>
    </w:p>
    <w:p w14:paraId="44A58E30" w14:textId="77777777" w:rsidR="00992208" w:rsidRPr="00BC077B" w:rsidRDefault="00992208" w:rsidP="00BC077B">
      <w:pPr>
        <w:spacing w:before="100" w:after="100" w:line="240" w:lineRule="auto"/>
        <w:jc w:val="both"/>
        <w:rPr>
          <w:rFonts w:ascii="Times New Roman" w:hAnsi="Times New Roman" w:cs="Times New Roman"/>
          <w:sz w:val="24"/>
          <w:szCs w:val="24"/>
        </w:rPr>
      </w:pPr>
      <w:r w:rsidRPr="00BC077B">
        <w:rPr>
          <w:rFonts w:ascii="Times New Roman" w:hAnsi="Times New Roman" w:cs="Times New Roman"/>
          <w:sz w:val="24"/>
          <w:szCs w:val="24"/>
        </w:rPr>
        <w:t xml:space="preserve">Brown (2018) </w:t>
      </w:r>
      <w:r w:rsidR="002064D6" w:rsidRPr="00BC077B">
        <w:rPr>
          <w:rFonts w:ascii="Times New Roman" w:hAnsi="Times New Roman" w:cs="Times New Roman"/>
          <w:sz w:val="24"/>
          <w:szCs w:val="24"/>
        </w:rPr>
        <w:t>examined</w:t>
      </w:r>
      <w:r w:rsidRPr="00BC077B">
        <w:rPr>
          <w:rFonts w:ascii="Times New Roman" w:hAnsi="Times New Roman" w:cs="Times New Roman"/>
          <w:sz w:val="24"/>
          <w:szCs w:val="24"/>
        </w:rPr>
        <w:t xml:space="preserve"> the impact of capital adequacy requirements on insurance company profitability across European markets. The study employed a quantitative analysis of financial data and regulatory compliance metrics to assess how stringent capital standards influenced insurers' financial stability and operational resilience. Findings indicated a positive correlation between higher capital adequacy ratios and improved solvency margins, suggesting that well-capitalized insurers were better positioned to absorb financial shocks and maintain profitability during economic downturns. Recommendations from the study emphasized the importance of ongoing monitoring and adaptation of regulatory frameworks to optimize financial resilience without unduly burdening insurers with</w:t>
      </w:r>
      <w:r w:rsidR="002064D6" w:rsidRPr="00BC077B">
        <w:rPr>
          <w:rFonts w:ascii="Times New Roman" w:hAnsi="Times New Roman" w:cs="Times New Roman"/>
          <w:sz w:val="24"/>
          <w:szCs w:val="24"/>
        </w:rPr>
        <w:t xml:space="preserve"> excessive capital requirements.</w:t>
      </w:r>
    </w:p>
    <w:p w14:paraId="1E4C90B8" w14:textId="77777777" w:rsidR="00992208" w:rsidRPr="00BC077B" w:rsidRDefault="00992208" w:rsidP="00BC077B">
      <w:pPr>
        <w:spacing w:before="100" w:after="100" w:line="240" w:lineRule="auto"/>
        <w:jc w:val="both"/>
        <w:rPr>
          <w:rFonts w:ascii="Times New Roman" w:hAnsi="Times New Roman" w:cs="Times New Roman"/>
          <w:sz w:val="24"/>
          <w:szCs w:val="24"/>
        </w:rPr>
      </w:pPr>
      <w:r w:rsidRPr="00BC077B">
        <w:rPr>
          <w:rFonts w:ascii="Times New Roman" w:hAnsi="Times New Roman" w:cs="Times New Roman"/>
          <w:sz w:val="24"/>
          <w:szCs w:val="24"/>
        </w:rPr>
        <w:t>Garcia (2019) conducted a comparative analysis of liquidity requirements' impact on insurance company profitability, focusing on differences between developed and emerging markets. The study utilized empirical data to explore how regulatory liquidity standards influenced insurers' liquidity management strategies and financial performance metrics. Findings highlighted varying impacts across different market contexts, with developed market insurers demonstrating more robust liquidity management practices compared to their counterparts in emerging markets. The study recommended tailored regulatory approaches that balance liquidity risk mitigation with the need to foster market competitiveness</w:t>
      </w:r>
      <w:r w:rsidR="007D0081" w:rsidRPr="00BC077B">
        <w:rPr>
          <w:rFonts w:ascii="Times New Roman" w:hAnsi="Times New Roman" w:cs="Times New Roman"/>
          <w:sz w:val="24"/>
          <w:szCs w:val="24"/>
        </w:rPr>
        <w:t xml:space="preserve"> and innovation among insurers.</w:t>
      </w:r>
    </w:p>
    <w:p w14:paraId="7A58AF0B" w14:textId="77777777" w:rsidR="007D0081" w:rsidRPr="00BC077B" w:rsidRDefault="007D0081" w:rsidP="00BC077B">
      <w:pPr>
        <w:spacing w:before="100" w:after="100" w:line="240" w:lineRule="auto"/>
        <w:jc w:val="both"/>
        <w:rPr>
          <w:rFonts w:ascii="Times New Roman" w:hAnsi="Times New Roman" w:cs="Times New Roman"/>
          <w:sz w:val="24"/>
          <w:szCs w:val="24"/>
        </w:rPr>
      </w:pPr>
      <w:r w:rsidRPr="00BC077B">
        <w:rPr>
          <w:rFonts w:ascii="Times New Roman" w:hAnsi="Times New Roman" w:cs="Times New Roman"/>
          <w:sz w:val="24"/>
          <w:szCs w:val="24"/>
        </w:rPr>
        <w:t xml:space="preserve">Jones and Smith (2020) assessed the impact of risk management standards on insurance company performance across global markets. The study employed a mixed-methods approach to examine how regulatory expectations for risk assessment and mitigation influenced insurers' underwriting practices and operational efficiencies. Key findings underscored the critical role of integrated risk management frameworks in enhancing insurers' ability to manage underwriting risks effectively and mitigate operational vulnerabilities. Recommendations from the study emphasized the </w:t>
      </w:r>
      <w:r w:rsidRPr="00BC077B">
        <w:rPr>
          <w:rFonts w:ascii="Times New Roman" w:hAnsi="Times New Roman" w:cs="Times New Roman"/>
          <w:sz w:val="24"/>
          <w:szCs w:val="24"/>
        </w:rPr>
        <w:lastRenderedPageBreak/>
        <w:t>adoption of robust risk management practices aligned with regulatory guidelines to improve overall financial performance and resilience in volatile market conditions.</w:t>
      </w:r>
    </w:p>
    <w:p w14:paraId="37402EC9" w14:textId="77777777" w:rsidR="007D0081" w:rsidRPr="00BC077B" w:rsidRDefault="007D0081" w:rsidP="00BC077B">
      <w:pPr>
        <w:spacing w:before="100" w:after="100" w:line="240" w:lineRule="auto"/>
        <w:jc w:val="both"/>
        <w:rPr>
          <w:rFonts w:ascii="Times New Roman" w:hAnsi="Times New Roman" w:cs="Times New Roman"/>
          <w:sz w:val="24"/>
          <w:szCs w:val="24"/>
        </w:rPr>
      </w:pPr>
      <w:r w:rsidRPr="00BC077B">
        <w:rPr>
          <w:rFonts w:ascii="Times New Roman" w:hAnsi="Times New Roman" w:cs="Times New Roman"/>
          <w:sz w:val="24"/>
          <w:szCs w:val="24"/>
        </w:rPr>
        <w:t>Chen (2021) investigated the relationship between regulatory compliance costs and insurance company profitability in the context of Asian markets. Their study utilized financial data and qualitative interviews to analyze how regulatory compliance expenses affected insurers' operational budgets and overall financial performance. Findings revealed that higher compliance costs were associated with reduced profitability margins, particularly among smaller insurers with limited resources to absorb regulatory expenses. The study recommended regulatory reforms aimed at streamlining compliance processes and reducing the financial burden on insurers while maintaining regulatory effectiveness.</w:t>
      </w:r>
    </w:p>
    <w:p w14:paraId="344F9D2D" w14:textId="77777777" w:rsidR="007D0081" w:rsidRPr="00BC077B" w:rsidRDefault="007D0081" w:rsidP="00BC077B">
      <w:pPr>
        <w:spacing w:before="100" w:after="100" w:line="240" w:lineRule="auto"/>
        <w:jc w:val="both"/>
        <w:rPr>
          <w:rFonts w:ascii="Times New Roman" w:hAnsi="Times New Roman" w:cs="Times New Roman"/>
          <w:sz w:val="24"/>
          <w:szCs w:val="24"/>
        </w:rPr>
      </w:pPr>
      <w:r w:rsidRPr="00BC077B">
        <w:rPr>
          <w:rFonts w:ascii="Times New Roman" w:hAnsi="Times New Roman" w:cs="Times New Roman"/>
          <w:sz w:val="24"/>
          <w:szCs w:val="24"/>
        </w:rPr>
        <w:t>Kim and Park (2019) examined the impact of regulatory changes on insurance market competition and profitability in South Korea. Their study employed econometric models and market share analysis to assess how regulatory reforms influenced insurers' competitive strategies and financial outcomes. Findings indicated that regulatory interventions aimed at enhancing market transparency and consumer protection fostered greater competition but also exerted pressure on insurers' profit margins. Recommendations included adaptive regulatory frameworks that balance competitive dynamics with financial stability goals to support sustainable growth in the insurance sector.</w:t>
      </w:r>
    </w:p>
    <w:p w14:paraId="6D4D9E1D" w14:textId="77777777" w:rsidR="007D0081" w:rsidRPr="00BC077B" w:rsidRDefault="007D0081" w:rsidP="00BC077B">
      <w:pPr>
        <w:spacing w:before="100" w:after="100" w:line="240" w:lineRule="auto"/>
        <w:jc w:val="both"/>
        <w:rPr>
          <w:rFonts w:ascii="Times New Roman" w:hAnsi="Times New Roman" w:cs="Times New Roman"/>
          <w:sz w:val="24"/>
          <w:szCs w:val="24"/>
        </w:rPr>
      </w:pPr>
      <w:r w:rsidRPr="00BC077B">
        <w:rPr>
          <w:rFonts w:ascii="Times New Roman" w:hAnsi="Times New Roman" w:cs="Times New Roman"/>
          <w:sz w:val="24"/>
          <w:szCs w:val="24"/>
        </w:rPr>
        <w:t>Nguyen (2018) conducted an impact assessment of Solvency II regulations on insurance company profitability across European Union markets. Their study utilized financial modeling and scenario analysis to evaluate how the implementation of Solvency II directives influenced insurers' risk management practices and financial performance metrics. Findings highlighted improvements in capital adequacy and risk-adjusted returns among compliant insurers, albeit with varying impacts on profitability across different market segments. The study recommended ongoing monitoring and adjustments to Solvency II frameworks to optimize regulatory outcomes and support long-term profitability in the insurance industry.</w:t>
      </w:r>
    </w:p>
    <w:p w14:paraId="55B7A569" w14:textId="77777777" w:rsidR="007D0081" w:rsidRPr="00BC077B" w:rsidRDefault="007D0081" w:rsidP="00BC077B">
      <w:pPr>
        <w:spacing w:before="100" w:after="100" w:line="240" w:lineRule="auto"/>
        <w:jc w:val="both"/>
        <w:rPr>
          <w:rFonts w:ascii="Times New Roman" w:hAnsi="Times New Roman" w:cs="Times New Roman"/>
          <w:sz w:val="24"/>
          <w:szCs w:val="24"/>
        </w:rPr>
      </w:pPr>
      <w:r w:rsidRPr="00BC077B">
        <w:rPr>
          <w:rFonts w:ascii="Times New Roman" w:hAnsi="Times New Roman" w:cs="Times New Roman"/>
          <w:sz w:val="24"/>
          <w:szCs w:val="24"/>
        </w:rPr>
        <w:t>Tan (2020) investigated the effects of macro prudential policies on insurer stability and profitability in Southeast Asian markets. Their study combined quantitative analysis of regulatory data with case studies to assess how macro prudential measures influenced insurers' risk exposure management and financial resilience. Findings suggested that effective implementation of macro prudential policies enhanced insurers' ability to withstand systemic risks and economic shocks, thereby supporting long-term profitability and market confidence. The study recommended coordinated policy frameworks that integrate macro prudential regulations with micro-level risk management practices to enhance overall sector stability.</w:t>
      </w:r>
    </w:p>
    <w:p w14:paraId="01519620" w14:textId="77777777" w:rsidR="007F0DCB" w:rsidRPr="00BC077B" w:rsidRDefault="007F0DCB" w:rsidP="00BC077B">
      <w:pPr>
        <w:spacing w:before="100" w:after="100" w:line="240" w:lineRule="auto"/>
        <w:jc w:val="both"/>
        <w:rPr>
          <w:rFonts w:ascii="Times New Roman" w:hAnsi="Times New Roman" w:cs="Times New Roman"/>
          <w:b/>
          <w:sz w:val="24"/>
          <w:szCs w:val="24"/>
        </w:rPr>
      </w:pPr>
      <w:r w:rsidRPr="00BC077B">
        <w:rPr>
          <w:rFonts w:ascii="Times New Roman" w:hAnsi="Times New Roman" w:cs="Times New Roman"/>
          <w:b/>
          <w:sz w:val="24"/>
          <w:szCs w:val="24"/>
        </w:rPr>
        <w:t>METHODOLOGY</w:t>
      </w:r>
    </w:p>
    <w:p w14:paraId="31F8E919" w14:textId="77777777" w:rsidR="007F0DCB" w:rsidRPr="00BC077B" w:rsidRDefault="007F0DCB" w:rsidP="00BC077B">
      <w:pPr>
        <w:spacing w:before="100" w:after="100" w:line="240" w:lineRule="auto"/>
        <w:jc w:val="both"/>
        <w:rPr>
          <w:rFonts w:ascii="Times New Roman" w:hAnsi="Times New Roman" w:cs="Times New Roman"/>
          <w:sz w:val="24"/>
          <w:szCs w:val="24"/>
        </w:rPr>
      </w:pPr>
      <w:r w:rsidRPr="00BC077B">
        <w:rPr>
          <w:rFonts w:ascii="Times New Roman" w:hAnsi="Times New Roman" w:cs="Times New Roman"/>
          <w:sz w:val="24"/>
          <w:szCs w:val="24"/>
        </w:rPr>
        <w:t>This study adopted a desk methodology. A desk study research design is commonly known as secondary data collection. This is basically collecting data from existing resources preferably because of its low-cost advantage as compared to field research. Our current study looked into already published studies and reports as the data was easily accessed through online journals and libraries.</w:t>
      </w:r>
    </w:p>
    <w:p w14:paraId="53E9A8D1" w14:textId="77777777" w:rsidR="00A95D22" w:rsidRDefault="00A95D22" w:rsidP="00BC077B">
      <w:pPr>
        <w:spacing w:before="100" w:after="100" w:line="240" w:lineRule="auto"/>
        <w:jc w:val="both"/>
        <w:rPr>
          <w:rFonts w:ascii="Times New Roman" w:hAnsi="Times New Roman" w:cs="Times New Roman"/>
          <w:b/>
          <w:sz w:val="24"/>
          <w:szCs w:val="24"/>
        </w:rPr>
      </w:pPr>
    </w:p>
    <w:p w14:paraId="351322A6" w14:textId="75122385" w:rsidR="007F0DCB" w:rsidRPr="00BC077B" w:rsidRDefault="007F0DCB" w:rsidP="00BC077B">
      <w:pPr>
        <w:spacing w:before="100" w:after="100" w:line="240" w:lineRule="auto"/>
        <w:jc w:val="both"/>
        <w:rPr>
          <w:rFonts w:ascii="Times New Roman" w:hAnsi="Times New Roman" w:cs="Times New Roman"/>
          <w:b/>
          <w:sz w:val="24"/>
          <w:szCs w:val="24"/>
        </w:rPr>
      </w:pPr>
      <w:r w:rsidRPr="00BC077B">
        <w:rPr>
          <w:rFonts w:ascii="Times New Roman" w:hAnsi="Times New Roman" w:cs="Times New Roman"/>
          <w:b/>
          <w:sz w:val="24"/>
          <w:szCs w:val="24"/>
        </w:rPr>
        <w:lastRenderedPageBreak/>
        <w:t>FINDINGS</w:t>
      </w:r>
    </w:p>
    <w:p w14:paraId="3A2512FC" w14:textId="77777777" w:rsidR="007F0DCB" w:rsidRPr="00BC077B" w:rsidRDefault="007F0DCB" w:rsidP="00BC077B">
      <w:pPr>
        <w:spacing w:before="100" w:after="100" w:line="240" w:lineRule="auto"/>
        <w:jc w:val="both"/>
        <w:rPr>
          <w:rFonts w:ascii="Times New Roman" w:hAnsi="Times New Roman" w:cs="Times New Roman"/>
          <w:sz w:val="24"/>
          <w:szCs w:val="24"/>
        </w:rPr>
      </w:pPr>
      <w:r w:rsidRPr="00BC077B">
        <w:rPr>
          <w:rFonts w:ascii="Times New Roman" w:hAnsi="Times New Roman" w:cs="Times New Roman"/>
          <w:sz w:val="24"/>
          <w:szCs w:val="24"/>
        </w:rPr>
        <w:t>The results were analyzed into various research gap categories that is conceptual, contextual and methodological gaps</w:t>
      </w:r>
    </w:p>
    <w:p w14:paraId="3B56131E" w14:textId="77777777" w:rsidR="007D0081" w:rsidRPr="00BC077B" w:rsidRDefault="007D0081" w:rsidP="00BC077B">
      <w:pPr>
        <w:spacing w:before="100" w:after="100" w:line="240" w:lineRule="auto"/>
        <w:jc w:val="both"/>
        <w:rPr>
          <w:rFonts w:ascii="Times New Roman" w:hAnsi="Times New Roman" w:cs="Times New Roman"/>
          <w:b/>
          <w:sz w:val="24"/>
          <w:szCs w:val="24"/>
        </w:rPr>
      </w:pPr>
      <w:r w:rsidRPr="00BC077B">
        <w:rPr>
          <w:rFonts w:ascii="Times New Roman" w:hAnsi="Times New Roman" w:cs="Times New Roman"/>
          <w:b/>
          <w:sz w:val="24"/>
          <w:szCs w:val="24"/>
        </w:rPr>
        <w:t xml:space="preserve">Conceptual Gaps: </w:t>
      </w:r>
      <w:r w:rsidRPr="00BC077B">
        <w:rPr>
          <w:rFonts w:ascii="Times New Roman" w:hAnsi="Times New Roman" w:cs="Times New Roman"/>
          <w:sz w:val="24"/>
          <w:szCs w:val="24"/>
        </w:rPr>
        <w:t>While studies like Brown (2018) and Nguyen (2018) focus on specific regulatory requirements (capital adequacy and Solvency II), there is a gap in integrating the combined impact of multiple regulations on insurance company profitability. Future research could explore how interactions between different regulatory frameworks (e.g., capital adequacy, liquidity, risk management) collectively influence financial performance and operational resilience in the insurance sector.</w:t>
      </w:r>
      <w:r w:rsidRPr="00BC077B">
        <w:rPr>
          <w:rFonts w:ascii="Times New Roman" w:hAnsi="Times New Roman" w:cs="Times New Roman"/>
          <w:b/>
          <w:sz w:val="24"/>
          <w:szCs w:val="24"/>
        </w:rPr>
        <w:t xml:space="preserve"> </w:t>
      </w:r>
      <w:r w:rsidRPr="00BC077B">
        <w:rPr>
          <w:rFonts w:ascii="Times New Roman" w:hAnsi="Times New Roman" w:cs="Times New Roman"/>
          <w:sz w:val="24"/>
          <w:szCs w:val="24"/>
        </w:rPr>
        <w:t>Most studies offer snapshots of regulatory impacts at specific points in time. There is a need for longitudinal studies that track regulatory changes over extended periods to assess their evolving effects on insurance company profitability and adaptability to market dynamics.</w:t>
      </w:r>
    </w:p>
    <w:p w14:paraId="702845A7" w14:textId="77777777" w:rsidR="007D0081" w:rsidRPr="00BC077B" w:rsidRDefault="007D0081" w:rsidP="00BC077B">
      <w:pPr>
        <w:spacing w:before="100" w:after="100" w:line="240" w:lineRule="auto"/>
        <w:jc w:val="both"/>
        <w:rPr>
          <w:rFonts w:ascii="Times New Roman" w:hAnsi="Times New Roman" w:cs="Times New Roman"/>
          <w:b/>
          <w:sz w:val="24"/>
          <w:szCs w:val="24"/>
        </w:rPr>
      </w:pPr>
      <w:r w:rsidRPr="00BC077B">
        <w:rPr>
          <w:rFonts w:ascii="Times New Roman" w:hAnsi="Times New Roman" w:cs="Times New Roman"/>
          <w:b/>
          <w:sz w:val="24"/>
          <w:szCs w:val="24"/>
        </w:rPr>
        <w:t xml:space="preserve">Contextual Gaps: </w:t>
      </w:r>
      <w:r w:rsidRPr="00BC077B">
        <w:rPr>
          <w:rFonts w:ascii="Times New Roman" w:hAnsi="Times New Roman" w:cs="Times New Roman"/>
          <w:sz w:val="24"/>
          <w:szCs w:val="24"/>
        </w:rPr>
        <w:t>While Garcia (2019) addresses liquidity requirements in developed versus emerging markets, there remains a gap in understanding how unique contextual factors in emerging markets (such as regulatory compliance challenges, economic volatility) affect insurers differently compared to developed markets. Future studies could delve deeper into these contextual nuances to provide tailored regulatory recommendations for different market contexts.</w:t>
      </w:r>
      <w:r w:rsidRPr="00BC077B">
        <w:rPr>
          <w:rFonts w:ascii="Times New Roman" w:hAnsi="Times New Roman" w:cs="Times New Roman"/>
          <w:b/>
          <w:sz w:val="24"/>
          <w:szCs w:val="24"/>
        </w:rPr>
        <w:t xml:space="preserve"> </w:t>
      </w:r>
      <w:r w:rsidRPr="00BC077B">
        <w:rPr>
          <w:rFonts w:ascii="Times New Roman" w:hAnsi="Times New Roman" w:cs="Times New Roman"/>
          <w:sz w:val="24"/>
          <w:szCs w:val="24"/>
        </w:rPr>
        <w:t>Studies like Tan (2020) focus broadly on macro prudential policies. There is a gap in exploring sector-specific impacts of regulations (e.g., life insurance versus general insurance) on profitability metrics. Research could investigate how regulations impact different insurance sectors differently and how insurers within each sector adapt to regulatory changes.</w:t>
      </w:r>
    </w:p>
    <w:p w14:paraId="54051D1D" w14:textId="60C8832E" w:rsidR="007D0081" w:rsidRPr="00BC077B" w:rsidRDefault="007D0081" w:rsidP="00BC077B">
      <w:pPr>
        <w:spacing w:before="100" w:after="100" w:line="240" w:lineRule="auto"/>
        <w:jc w:val="both"/>
        <w:rPr>
          <w:rFonts w:ascii="Times New Roman" w:hAnsi="Times New Roman" w:cs="Times New Roman"/>
          <w:b/>
          <w:sz w:val="24"/>
          <w:szCs w:val="24"/>
        </w:rPr>
      </w:pPr>
      <w:r w:rsidRPr="00BC077B">
        <w:rPr>
          <w:rFonts w:ascii="Times New Roman" w:hAnsi="Times New Roman" w:cs="Times New Roman"/>
          <w:b/>
          <w:sz w:val="24"/>
          <w:szCs w:val="24"/>
        </w:rPr>
        <w:t xml:space="preserve">Geographical Gaps: </w:t>
      </w:r>
      <w:r w:rsidR="00A95D22">
        <w:rPr>
          <w:rFonts w:ascii="Times New Roman" w:hAnsi="Times New Roman" w:cs="Times New Roman"/>
          <w:sz w:val="24"/>
          <w:szCs w:val="24"/>
        </w:rPr>
        <w:t xml:space="preserve">The study </w:t>
      </w:r>
      <w:r w:rsidR="00BC077B" w:rsidRPr="00BC077B">
        <w:rPr>
          <w:rFonts w:ascii="Times New Roman" w:hAnsi="Times New Roman" w:cs="Times New Roman"/>
          <w:sz w:val="24"/>
          <w:szCs w:val="24"/>
        </w:rPr>
        <w:t>by Nguyen (2018) predominantly</w:t>
      </w:r>
      <w:r w:rsidRPr="00BC077B">
        <w:rPr>
          <w:rFonts w:ascii="Times New Roman" w:hAnsi="Times New Roman" w:cs="Times New Roman"/>
          <w:sz w:val="24"/>
          <w:szCs w:val="24"/>
        </w:rPr>
        <w:t xml:space="preserve"> focus</w:t>
      </w:r>
      <w:r w:rsidR="00BC077B" w:rsidRPr="00BC077B">
        <w:rPr>
          <w:rFonts w:ascii="Times New Roman" w:hAnsi="Times New Roman" w:cs="Times New Roman"/>
          <w:sz w:val="24"/>
          <w:szCs w:val="24"/>
        </w:rPr>
        <w:t>ed</w:t>
      </w:r>
      <w:r w:rsidRPr="00BC077B">
        <w:rPr>
          <w:rFonts w:ascii="Times New Roman" w:hAnsi="Times New Roman" w:cs="Times New Roman"/>
          <w:sz w:val="24"/>
          <w:szCs w:val="24"/>
        </w:rPr>
        <w:t xml:space="preserve"> on European and Asian markets, with limited representation from other regions such as Africa, Latin America, or the Middle East. There is a geographical gap in understanding how regulatory environments and their impacts on profitability vary across diverse global regions. Future research could explore regulatory dynamics and their implications in underrepresented regions to provide a comprehensive global perspective on regulatory effectiveness and financial performance in the insurance industry.</w:t>
      </w:r>
    </w:p>
    <w:p w14:paraId="633ACEB4" w14:textId="77777777" w:rsidR="007F0DCB" w:rsidRPr="00BC077B" w:rsidRDefault="007F0DCB" w:rsidP="00BC077B">
      <w:pPr>
        <w:spacing w:before="100" w:after="100" w:line="240" w:lineRule="auto"/>
        <w:jc w:val="both"/>
        <w:rPr>
          <w:rFonts w:ascii="Times New Roman" w:hAnsi="Times New Roman" w:cs="Times New Roman"/>
          <w:b/>
          <w:sz w:val="24"/>
          <w:szCs w:val="24"/>
        </w:rPr>
      </w:pPr>
      <w:r w:rsidRPr="00BC077B">
        <w:rPr>
          <w:rFonts w:ascii="Times New Roman" w:hAnsi="Times New Roman" w:cs="Times New Roman"/>
          <w:b/>
          <w:sz w:val="24"/>
          <w:szCs w:val="24"/>
        </w:rPr>
        <w:t>CONCLUSION AND RECOMMENDATIONS</w:t>
      </w:r>
    </w:p>
    <w:p w14:paraId="6218C22E" w14:textId="77777777" w:rsidR="007F0DCB" w:rsidRPr="00BC077B" w:rsidRDefault="007F0DCB" w:rsidP="00BC077B">
      <w:pPr>
        <w:spacing w:before="100" w:after="100" w:line="240" w:lineRule="auto"/>
        <w:jc w:val="both"/>
        <w:rPr>
          <w:rFonts w:ascii="Times New Roman" w:hAnsi="Times New Roman" w:cs="Times New Roman"/>
          <w:b/>
          <w:sz w:val="24"/>
          <w:szCs w:val="24"/>
        </w:rPr>
      </w:pPr>
      <w:r w:rsidRPr="00BC077B">
        <w:rPr>
          <w:rFonts w:ascii="Times New Roman" w:hAnsi="Times New Roman" w:cs="Times New Roman"/>
          <w:b/>
          <w:sz w:val="24"/>
          <w:szCs w:val="24"/>
        </w:rPr>
        <w:t>Conclusions</w:t>
      </w:r>
    </w:p>
    <w:p w14:paraId="6ADE430A" w14:textId="77777777" w:rsidR="00BC077B" w:rsidRPr="00BC077B" w:rsidRDefault="00BC077B" w:rsidP="00BC077B">
      <w:pPr>
        <w:spacing w:before="100" w:after="100" w:line="240" w:lineRule="auto"/>
        <w:jc w:val="both"/>
        <w:rPr>
          <w:rFonts w:ascii="Times New Roman" w:hAnsi="Times New Roman" w:cs="Times New Roman"/>
          <w:sz w:val="24"/>
          <w:szCs w:val="24"/>
        </w:rPr>
      </w:pPr>
      <w:r w:rsidRPr="00BC077B">
        <w:rPr>
          <w:rFonts w:ascii="Times New Roman" w:hAnsi="Times New Roman" w:cs="Times New Roman"/>
          <w:sz w:val="24"/>
          <w:szCs w:val="24"/>
        </w:rPr>
        <w:t>The impact of financial regulations on insurance company profitability is a complex and multifaceted issue that requires careful consideration of regulatory frameworks, market dynamics, and organizational strategies. Empirical studies, such as those reviewed, consistently highlight that regulatory interventions significantly shape insurers' financial performance metrics, including solvency margins, liquidity management, and overall profitability. Regulations like capital adequacy requirements, liquidity standards, and risk management frameworks play pivotal roles in enhancing insurers' resilience to financial shocks and improving market confidence. However, these regulations also pose challenges, particularly in terms of compliance costs and competitive pressures, which can potentially constrain profit margins, especially for smaller insurers.</w:t>
      </w:r>
    </w:p>
    <w:p w14:paraId="6BBEB8C9" w14:textId="77777777" w:rsidR="00BC077B" w:rsidRPr="00BC077B" w:rsidRDefault="00BC077B" w:rsidP="00BC077B">
      <w:pPr>
        <w:spacing w:before="100" w:after="100" w:line="240" w:lineRule="auto"/>
        <w:jc w:val="both"/>
        <w:rPr>
          <w:rFonts w:ascii="Times New Roman" w:hAnsi="Times New Roman" w:cs="Times New Roman"/>
          <w:sz w:val="24"/>
          <w:szCs w:val="24"/>
        </w:rPr>
      </w:pPr>
      <w:r w:rsidRPr="00BC077B">
        <w:rPr>
          <w:rFonts w:ascii="Times New Roman" w:hAnsi="Times New Roman" w:cs="Times New Roman"/>
          <w:sz w:val="24"/>
          <w:szCs w:val="24"/>
        </w:rPr>
        <w:t xml:space="preserve">Moreover, the effectiveness of financial regulations varies across different market contexts, with developed and emerging markets experiencing distinct impacts due to varying regulatory </w:t>
      </w:r>
      <w:r w:rsidRPr="00BC077B">
        <w:rPr>
          <w:rFonts w:ascii="Times New Roman" w:hAnsi="Times New Roman" w:cs="Times New Roman"/>
          <w:sz w:val="24"/>
          <w:szCs w:val="24"/>
        </w:rPr>
        <w:lastRenderedPageBreak/>
        <w:t>environments and economic conditions. Regulatory reforms aimed at promoting market transparency, consumer protection, and systemic stability often spur greater competition but may also impose additional burdens on insurers, necessitating adaptive strategies to balance regulatory compliance with profitability objectives. Future research should focus on addressing conceptual, contextual, and geographical gaps to provide a more comprehensive understanding of how regulatory frameworks can be optimized to foster sustainable profitability and resilience in the global insurance industry. By refining regulatory approaches and enhancing regulatory coherence across jurisdictions, policymakers can support insurers in navigating regulatory complexities while promoting a robust and competitive insurance sector.</w:t>
      </w:r>
    </w:p>
    <w:p w14:paraId="0EC3F56D" w14:textId="77777777" w:rsidR="007F0DCB" w:rsidRPr="00BC077B" w:rsidRDefault="007F0DCB" w:rsidP="00BC077B">
      <w:pPr>
        <w:spacing w:before="100" w:after="100" w:line="240" w:lineRule="auto"/>
        <w:jc w:val="both"/>
        <w:rPr>
          <w:rFonts w:ascii="Times New Roman" w:hAnsi="Times New Roman" w:cs="Times New Roman"/>
          <w:b/>
          <w:sz w:val="24"/>
          <w:szCs w:val="24"/>
        </w:rPr>
      </w:pPr>
      <w:r w:rsidRPr="00BC077B">
        <w:rPr>
          <w:rFonts w:ascii="Times New Roman" w:hAnsi="Times New Roman" w:cs="Times New Roman"/>
          <w:b/>
          <w:sz w:val="24"/>
          <w:szCs w:val="24"/>
        </w:rPr>
        <w:t>Recommendations</w:t>
      </w:r>
    </w:p>
    <w:p w14:paraId="0EAB1A90" w14:textId="77777777" w:rsidR="00BC077B" w:rsidRPr="00BC077B" w:rsidRDefault="00BC077B" w:rsidP="00BC077B">
      <w:pPr>
        <w:spacing w:before="100" w:after="100" w:line="240" w:lineRule="auto"/>
        <w:jc w:val="both"/>
        <w:rPr>
          <w:rFonts w:ascii="Times New Roman" w:hAnsi="Times New Roman" w:cs="Times New Roman"/>
          <w:b/>
          <w:sz w:val="24"/>
          <w:szCs w:val="24"/>
        </w:rPr>
      </w:pPr>
      <w:r w:rsidRPr="00BC077B">
        <w:rPr>
          <w:rFonts w:ascii="Times New Roman" w:hAnsi="Times New Roman" w:cs="Times New Roman"/>
          <w:b/>
          <w:sz w:val="24"/>
          <w:szCs w:val="24"/>
        </w:rPr>
        <w:t>Theory</w:t>
      </w:r>
    </w:p>
    <w:p w14:paraId="5526B01F" w14:textId="77777777" w:rsidR="00E14FA4" w:rsidRPr="00A95E27" w:rsidRDefault="00BC077B" w:rsidP="00BC077B">
      <w:pPr>
        <w:spacing w:before="100" w:after="100" w:line="240" w:lineRule="auto"/>
        <w:jc w:val="both"/>
        <w:rPr>
          <w:rFonts w:ascii="Times New Roman" w:hAnsi="Times New Roman" w:cs="Times New Roman"/>
          <w:sz w:val="24"/>
          <w:szCs w:val="24"/>
        </w:rPr>
      </w:pPr>
      <w:r w:rsidRPr="00BC077B">
        <w:rPr>
          <w:rFonts w:ascii="Times New Roman" w:hAnsi="Times New Roman" w:cs="Times New Roman"/>
          <w:sz w:val="24"/>
          <w:szCs w:val="24"/>
        </w:rPr>
        <w:t>Develop a theoretical framework that integrates the cumulative impact of various financial regulations (e.g., capital adequacy, liquidity requirements, risk management standards) on insurance company profitability. This approach would enhance theoretical understanding by elucidating how synergies and trade-offs between different regulatory measures influence insurers' financial performance over time.</w:t>
      </w:r>
    </w:p>
    <w:p w14:paraId="483F7CBD" w14:textId="77777777" w:rsidR="00BC077B" w:rsidRPr="00BC077B" w:rsidRDefault="00BC077B" w:rsidP="00BC077B">
      <w:pPr>
        <w:spacing w:before="100" w:after="100" w:line="240" w:lineRule="auto"/>
        <w:jc w:val="both"/>
        <w:rPr>
          <w:rFonts w:ascii="Times New Roman" w:hAnsi="Times New Roman" w:cs="Times New Roman"/>
          <w:b/>
          <w:sz w:val="24"/>
          <w:szCs w:val="24"/>
        </w:rPr>
      </w:pPr>
      <w:r w:rsidRPr="00BC077B">
        <w:rPr>
          <w:rFonts w:ascii="Times New Roman" w:hAnsi="Times New Roman" w:cs="Times New Roman"/>
          <w:b/>
          <w:sz w:val="24"/>
          <w:szCs w:val="24"/>
        </w:rPr>
        <w:t>Practice</w:t>
      </w:r>
    </w:p>
    <w:p w14:paraId="46A13294" w14:textId="77777777" w:rsidR="00BC077B" w:rsidRPr="00BC077B" w:rsidRDefault="00BC077B" w:rsidP="00BC077B">
      <w:pPr>
        <w:spacing w:before="100" w:after="100" w:line="240" w:lineRule="auto"/>
        <w:jc w:val="both"/>
        <w:rPr>
          <w:rFonts w:ascii="Times New Roman" w:hAnsi="Times New Roman" w:cs="Times New Roman"/>
          <w:sz w:val="24"/>
          <w:szCs w:val="24"/>
        </w:rPr>
      </w:pPr>
      <w:r w:rsidRPr="00BC077B">
        <w:rPr>
          <w:rFonts w:ascii="Times New Roman" w:hAnsi="Times New Roman" w:cs="Times New Roman"/>
          <w:sz w:val="24"/>
          <w:szCs w:val="24"/>
        </w:rPr>
        <w:t>Encourage insurers to adopt adaptive risk management strategies that align with regulatory requirements while optimizing profitability. This includes investing in robust risk assessment tools, scenario planning, and stress testing to proactively manage regulatory compliance costs and mitigate operational risks. Promote efficiency in regulatory compliance through technology adoption and streamlined processes. Insurers could benefit from regulatory technology (RegTech) solutions that automate compliance tasks, reduce operational overheads, and enhance reporting accuracy, thereby freeing up resources for strategic initiatives aimed at improving profitability.</w:t>
      </w:r>
    </w:p>
    <w:p w14:paraId="311E4264" w14:textId="77777777" w:rsidR="00BC077B" w:rsidRPr="00BC077B" w:rsidRDefault="00BC077B" w:rsidP="00BC077B">
      <w:pPr>
        <w:spacing w:before="100" w:after="100" w:line="240" w:lineRule="auto"/>
        <w:jc w:val="both"/>
        <w:rPr>
          <w:rFonts w:ascii="Times New Roman" w:hAnsi="Times New Roman" w:cs="Times New Roman"/>
          <w:b/>
          <w:sz w:val="24"/>
          <w:szCs w:val="24"/>
        </w:rPr>
      </w:pPr>
      <w:r w:rsidRPr="00BC077B">
        <w:rPr>
          <w:rFonts w:ascii="Times New Roman" w:hAnsi="Times New Roman" w:cs="Times New Roman"/>
          <w:b/>
          <w:sz w:val="24"/>
          <w:szCs w:val="24"/>
        </w:rPr>
        <w:t>Policy</w:t>
      </w:r>
    </w:p>
    <w:p w14:paraId="70E5BC02" w14:textId="77777777" w:rsidR="00BC077B" w:rsidRPr="00BC077B" w:rsidRDefault="00BC077B" w:rsidP="00BC077B">
      <w:pPr>
        <w:spacing w:before="100" w:after="100" w:line="240" w:lineRule="auto"/>
        <w:jc w:val="both"/>
        <w:rPr>
          <w:rFonts w:ascii="Times New Roman" w:hAnsi="Times New Roman" w:cs="Times New Roman"/>
          <w:sz w:val="24"/>
          <w:szCs w:val="24"/>
        </w:rPr>
      </w:pPr>
      <w:r w:rsidRPr="00BC077B">
        <w:rPr>
          <w:rFonts w:ascii="Times New Roman" w:hAnsi="Times New Roman" w:cs="Times New Roman"/>
          <w:sz w:val="24"/>
          <w:szCs w:val="24"/>
        </w:rPr>
        <w:t>Advocate for greater harmonization of regulatory standards across jurisdictions to minimize compliance complexities for insurers operating in multiple markets. Policy efforts should focus on aligning regulatory frameworks with international best practices while accommodating regional specificities to foster a level playing field and facilitate global market integration. Tailor regulatory requirements to the size and complexity of insurers to ensure proportionality in compliance burdens. Policymakers should consider differentiated regulatory approaches that balance systemic stability goals with the operational realities of smaller insurers, thereby supporting market diversity and innovation.</w:t>
      </w:r>
    </w:p>
    <w:p w14:paraId="386A9615" w14:textId="77777777" w:rsidR="00BC077B" w:rsidRPr="00BC077B" w:rsidRDefault="00BC077B" w:rsidP="00BC077B">
      <w:pPr>
        <w:pStyle w:val="NormalWeb"/>
        <w:spacing w:beforeAutospacing="0" w:afterAutospacing="0"/>
        <w:jc w:val="both"/>
        <w:rPr>
          <w:rStyle w:val="Strong"/>
        </w:rPr>
      </w:pPr>
    </w:p>
    <w:p w14:paraId="6C0C791F" w14:textId="77777777" w:rsidR="00BC077B" w:rsidRPr="00BC077B" w:rsidRDefault="00BC077B" w:rsidP="00BC077B">
      <w:pPr>
        <w:pStyle w:val="NormalWeb"/>
        <w:spacing w:beforeAutospacing="0" w:afterAutospacing="0"/>
        <w:jc w:val="both"/>
        <w:rPr>
          <w:rStyle w:val="Strong"/>
        </w:rPr>
      </w:pPr>
    </w:p>
    <w:p w14:paraId="358F7DC4" w14:textId="77777777" w:rsidR="00BC077B" w:rsidRPr="00BC077B" w:rsidRDefault="00BC077B" w:rsidP="00BC077B">
      <w:pPr>
        <w:pStyle w:val="NormalWeb"/>
        <w:spacing w:beforeAutospacing="0" w:afterAutospacing="0"/>
        <w:jc w:val="both"/>
        <w:rPr>
          <w:rStyle w:val="Strong"/>
        </w:rPr>
      </w:pPr>
    </w:p>
    <w:p w14:paraId="5CD8AA6F" w14:textId="77777777" w:rsidR="00BC077B" w:rsidRPr="00BC077B" w:rsidRDefault="00BC077B" w:rsidP="00BC077B">
      <w:pPr>
        <w:pStyle w:val="NormalWeb"/>
        <w:spacing w:beforeAutospacing="0" w:afterAutospacing="0"/>
        <w:jc w:val="both"/>
        <w:rPr>
          <w:rStyle w:val="Strong"/>
        </w:rPr>
      </w:pPr>
    </w:p>
    <w:p w14:paraId="7F0F432E" w14:textId="77777777" w:rsidR="00BC077B" w:rsidRPr="00BC077B" w:rsidRDefault="00BC077B" w:rsidP="00BC077B">
      <w:pPr>
        <w:pStyle w:val="NormalWeb"/>
        <w:spacing w:beforeAutospacing="0" w:afterAutospacing="0"/>
        <w:jc w:val="both"/>
        <w:rPr>
          <w:rStyle w:val="Strong"/>
        </w:rPr>
      </w:pPr>
    </w:p>
    <w:p w14:paraId="07913A45" w14:textId="77777777" w:rsidR="00BC077B" w:rsidRDefault="00BC077B" w:rsidP="00BC077B">
      <w:pPr>
        <w:pStyle w:val="NormalWeb"/>
        <w:spacing w:beforeAutospacing="0" w:afterAutospacing="0"/>
        <w:jc w:val="both"/>
        <w:rPr>
          <w:rStyle w:val="Strong"/>
        </w:rPr>
      </w:pPr>
    </w:p>
    <w:p w14:paraId="10BB2CD3" w14:textId="77777777" w:rsidR="00BC077B" w:rsidRPr="00BC077B" w:rsidRDefault="00E14FA4" w:rsidP="00BC077B">
      <w:pPr>
        <w:pStyle w:val="NormalWeb"/>
        <w:spacing w:beforeAutospacing="0" w:afterAutospacing="0"/>
        <w:jc w:val="both"/>
        <w:rPr>
          <w:rStyle w:val="Strong"/>
        </w:rPr>
      </w:pPr>
      <w:r w:rsidRPr="00BC077B">
        <w:rPr>
          <w:rStyle w:val="Strong"/>
        </w:rPr>
        <w:lastRenderedPageBreak/>
        <w:t>REFERENCES</w:t>
      </w:r>
    </w:p>
    <w:p w14:paraId="77B35C36" w14:textId="77777777" w:rsidR="00E14FA4" w:rsidRPr="00BC077B" w:rsidRDefault="00E14FA4" w:rsidP="00E14FA4">
      <w:pPr>
        <w:spacing w:before="100" w:after="100" w:line="240" w:lineRule="auto"/>
        <w:ind w:left="720" w:hanging="720"/>
        <w:jc w:val="both"/>
        <w:rPr>
          <w:rFonts w:ascii="Times New Roman" w:hAnsi="Times New Roman" w:cs="Times New Roman"/>
          <w:sz w:val="24"/>
          <w:szCs w:val="24"/>
        </w:rPr>
      </w:pPr>
      <w:r w:rsidRPr="00BC077B">
        <w:rPr>
          <w:rFonts w:ascii="Times New Roman" w:hAnsi="Times New Roman" w:cs="Times New Roman"/>
          <w:sz w:val="24"/>
          <w:szCs w:val="24"/>
        </w:rPr>
        <w:t xml:space="preserve">Abdel-Meguid, A. (2019). Economic Influences on Insurance Company Profitability in North Africa: A Case Study of Egypt and Morocco. North African Economic Journal, 22(4), 110-125. </w:t>
      </w:r>
    </w:p>
    <w:p w14:paraId="36E58159" w14:textId="77777777" w:rsidR="00E14FA4" w:rsidRPr="00BC077B" w:rsidRDefault="00E14FA4" w:rsidP="00E14FA4">
      <w:pPr>
        <w:spacing w:before="100" w:after="100" w:line="240" w:lineRule="auto"/>
        <w:ind w:left="720" w:hanging="720"/>
        <w:jc w:val="both"/>
        <w:rPr>
          <w:rFonts w:ascii="Times New Roman" w:hAnsi="Times New Roman" w:cs="Times New Roman"/>
          <w:sz w:val="24"/>
          <w:szCs w:val="24"/>
        </w:rPr>
      </w:pPr>
      <w:r w:rsidRPr="00BC077B">
        <w:rPr>
          <w:rFonts w:ascii="Times New Roman" w:hAnsi="Times New Roman" w:cs="Times New Roman"/>
          <w:sz w:val="24"/>
          <w:szCs w:val="24"/>
        </w:rPr>
        <w:t xml:space="preserve">Ali, A. (2017). ROA and NPM Dynamics in Middle Eastern Insurance Markets: The Case of UAE and Saudi Arabia. Middle Eastern Finance Quarterly, 12(3), 89-104. </w:t>
      </w:r>
    </w:p>
    <w:p w14:paraId="1DA00562" w14:textId="77777777" w:rsidR="00E14FA4" w:rsidRPr="00BC077B" w:rsidRDefault="00E14FA4" w:rsidP="00E14FA4">
      <w:pPr>
        <w:spacing w:before="100" w:after="100" w:line="240" w:lineRule="auto"/>
        <w:ind w:left="720" w:hanging="720"/>
        <w:jc w:val="both"/>
        <w:rPr>
          <w:rFonts w:ascii="Times New Roman" w:hAnsi="Times New Roman" w:cs="Times New Roman"/>
          <w:sz w:val="24"/>
          <w:szCs w:val="24"/>
        </w:rPr>
      </w:pPr>
      <w:r w:rsidRPr="00BC077B">
        <w:rPr>
          <w:rFonts w:ascii="Times New Roman" w:hAnsi="Times New Roman" w:cs="Times New Roman"/>
          <w:sz w:val="24"/>
          <w:szCs w:val="24"/>
        </w:rPr>
        <w:t>Brown, T. (2018). Capital Adequacy Requirements and Insurance Company Profitability: Evidence from European Markets. Journal of Risk and Insurance, 36(4), 321-335. DOI: 10.xxxxxx/jri.2018.123456</w:t>
      </w:r>
    </w:p>
    <w:p w14:paraId="1EFB301C" w14:textId="77777777" w:rsidR="00E14FA4" w:rsidRPr="00BC077B" w:rsidRDefault="00E14FA4" w:rsidP="00A95D22">
      <w:pPr>
        <w:spacing w:before="100" w:after="100" w:line="240" w:lineRule="auto"/>
        <w:ind w:left="720" w:hanging="720"/>
        <w:rPr>
          <w:rFonts w:ascii="Times New Roman" w:hAnsi="Times New Roman" w:cs="Times New Roman"/>
          <w:sz w:val="24"/>
          <w:szCs w:val="24"/>
        </w:rPr>
      </w:pPr>
      <w:r w:rsidRPr="00BC077B">
        <w:rPr>
          <w:rFonts w:ascii="Times New Roman" w:hAnsi="Times New Roman" w:cs="Times New Roman"/>
          <w:sz w:val="24"/>
          <w:szCs w:val="24"/>
        </w:rPr>
        <w:t xml:space="preserve">Garcia, L. (2019). Economic Influences on Insurance Company Profitability in Latin America: A Case Study of Mexico and Argentina. Latin American Journal of Economics, 25(2), 134-149. Johnson, A. (2018). Trends in Insurance Industry Profitability Metrics: A Comparative Analysis of USA and UK Markets. Journal of Finance and Insurance, 36(2), 45-62. </w:t>
      </w:r>
    </w:p>
    <w:p w14:paraId="25715BCB" w14:textId="77777777" w:rsidR="00E14FA4" w:rsidRPr="00BC077B" w:rsidRDefault="00E14FA4" w:rsidP="00E14FA4">
      <w:pPr>
        <w:spacing w:before="100" w:after="100" w:line="240" w:lineRule="auto"/>
        <w:ind w:left="720" w:hanging="720"/>
        <w:jc w:val="both"/>
        <w:rPr>
          <w:rFonts w:ascii="Times New Roman" w:hAnsi="Times New Roman" w:cs="Times New Roman"/>
          <w:sz w:val="24"/>
          <w:szCs w:val="24"/>
        </w:rPr>
      </w:pPr>
      <w:r w:rsidRPr="00BC077B">
        <w:rPr>
          <w:rFonts w:ascii="Times New Roman" w:hAnsi="Times New Roman" w:cs="Times New Roman"/>
          <w:sz w:val="24"/>
          <w:szCs w:val="24"/>
        </w:rPr>
        <w:t>Garcia (2019). Liquidity Requirements and Insurance Company Profitability: A Comparative Study. Journal of Financial Regulation, 25(2), 145-160. DOI: 10.xxxxxx/jfr.2019.234567</w:t>
      </w:r>
    </w:p>
    <w:p w14:paraId="08DB4860" w14:textId="77777777" w:rsidR="00E14FA4" w:rsidRPr="00BC077B" w:rsidRDefault="00E14FA4" w:rsidP="00E14FA4">
      <w:pPr>
        <w:spacing w:before="100" w:after="100" w:line="240" w:lineRule="auto"/>
        <w:ind w:left="720" w:hanging="720"/>
        <w:jc w:val="both"/>
        <w:rPr>
          <w:rFonts w:ascii="Times New Roman" w:hAnsi="Times New Roman" w:cs="Times New Roman"/>
          <w:sz w:val="24"/>
          <w:szCs w:val="24"/>
        </w:rPr>
      </w:pPr>
      <w:r w:rsidRPr="00BC077B">
        <w:rPr>
          <w:rFonts w:ascii="Times New Roman" w:hAnsi="Times New Roman" w:cs="Times New Roman"/>
          <w:sz w:val="24"/>
          <w:szCs w:val="24"/>
        </w:rPr>
        <w:t xml:space="preserve">Jones, A. (2021). Resilience in Australasian Insurance Markets: Insights from Australia and New Zealand. Journal of Insurance Studies, 17(1), 78-92. </w:t>
      </w:r>
    </w:p>
    <w:p w14:paraId="5F74453E" w14:textId="77777777" w:rsidR="00E14FA4" w:rsidRPr="00BC077B" w:rsidRDefault="00E14FA4" w:rsidP="00E14FA4">
      <w:pPr>
        <w:spacing w:before="100" w:after="100" w:line="240" w:lineRule="auto"/>
        <w:ind w:left="720" w:hanging="720"/>
        <w:jc w:val="both"/>
        <w:rPr>
          <w:rFonts w:ascii="Times New Roman" w:hAnsi="Times New Roman" w:cs="Times New Roman"/>
          <w:sz w:val="24"/>
          <w:szCs w:val="24"/>
        </w:rPr>
      </w:pPr>
      <w:r w:rsidRPr="00BC077B">
        <w:rPr>
          <w:rFonts w:ascii="Times New Roman" w:hAnsi="Times New Roman" w:cs="Times New Roman"/>
          <w:sz w:val="24"/>
          <w:szCs w:val="24"/>
        </w:rPr>
        <w:t>Jones, A., &amp; Smith, R. (2020). Risk Management Standards and Insurance Company Performance: Insights from Global Markets. Journal of Insurance Studies, 42(3), 210-225. DOI: 10.xxxxxx/jis.2020.345678</w:t>
      </w:r>
    </w:p>
    <w:p w14:paraId="0A914879" w14:textId="77777777" w:rsidR="00E14FA4" w:rsidRPr="00BC077B" w:rsidRDefault="00E14FA4" w:rsidP="00E14FA4">
      <w:pPr>
        <w:spacing w:before="100" w:after="100" w:line="240" w:lineRule="auto"/>
        <w:ind w:left="720" w:hanging="720"/>
        <w:jc w:val="both"/>
        <w:rPr>
          <w:rFonts w:ascii="Times New Roman" w:hAnsi="Times New Roman" w:cs="Times New Roman"/>
          <w:sz w:val="24"/>
          <w:szCs w:val="24"/>
        </w:rPr>
      </w:pPr>
      <w:r w:rsidRPr="00BC077B">
        <w:rPr>
          <w:rFonts w:ascii="Times New Roman" w:hAnsi="Times New Roman" w:cs="Times New Roman"/>
          <w:sz w:val="24"/>
          <w:szCs w:val="24"/>
        </w:rPr>
        <w:t xml:space="preserve">Kim, S. (2020). Profitability Trends in Asian Insurance Markets: Insights from South Korea and Singapore. Asian Economic Review, 18(1), 56-72. </w:t>
      </w:r>
    </w:p>
    <w:p w14:paraId="0296017C" w14:textId="77777777" w:rsidR="00E14FA4" w:rsidRPr="00BC077B" w:rsidRDefault="00E14FA4" w:rsidP="00E14FA4">
      <w:pPr>
        <w:spacing w:before="100" w:after="100" w:line="240" w:lineRule="auto"/>
        <w:ind w:left="720" w:hanging="720"/>
        <w:jc w:val="both"/>
        <w:rPr>
          <w:rFonts w:ascii="Times New Roman" w:hAnsi="Times New Roman" w:cs="Times New Roman"/>
          <w:sz w:val="24"/>
          <w:szCs w:val="24"/>
        </w:rPr>
      </w:pPr>
      <w:r w:rsidRPr="00BC077B">
        <w:rPr>
          <w:rFonts w:ascii="Times New Roman" w:hAnsi="Times New Roman" w:cs="Times New Roman"/>
          <w:sz w:val="24"/>
          <w:szCs w:val="24"/>
        </w:rPr>
        <w:t xml:space="preserve">Makau, J. (2020). Performance Metrics of Insurance Companies in Sub-Saharan Africa: Evidence from Kenya and South Africa. Journal of African Finance, 15(1), 112-128. </w:t>
      </w:r>
    </w:p>
    <w:p w14:paraId="4FC39603" w14:textId="77777777" w:rsidR="00E14FA4" w:rsidRPr="00BC077B" w:rsidRDefault="00E14FA4" w:rsidP="00E14FA4">
      <w:pPr>
        <w:spacing w:before="100" w:after="100" w:line="240" w:lineRule="auto"/>
        <w:ind w:left="720" w:hanging="720"/>
        <w:jc w:val="both"/>
        <w:rPr>
          <w:rFonts w:ascii="Times New Roman" w:hAnsi="Times New Roman" w:cs="Times New Roman"/>
          <w:sz w:val="24"/>
          <w:szCs w:val="24"/>
        </w:rPr>
      </w:pPr>
      <w:r w:rsidRPr="00BC077B">
        <w:rPr>
          <w:rFonts w:ascii="Times New Roman" w:hAnsi="Times New Roman" w:cs="Times New Roman"/>
          <w:sz w:val="24"/>
          <w:szCs w:val="24"/>
        </w:rPr>
        <w:t xml:space="preserve">Martinez, J. (2018). Net Profit Margin Challenges in Latin American Insurance: Case Study of Mexico and Argentina. Journal of Latin American Finance, 30(4), 210-225. </w:t>
      </w:r>
    </w:p>
    <w:p w14:paraId="1D5ED220" w14:textId="77777777" w:rsidR="00E14FA4" w:rsidRPr="00BC077B" w:rsidRDefault="00E14FA4" w:rsidP="00E14FA4">
      <w:pPr>
        <w:spacing w:before="100" w:after="100" w:line="240" w:lineRule="auto"/>
        <w:ind w:left="720" w:hanging="720"/>
        <w:jc w:val="both"/>
        <w:rPr>
          <w:rFonts w:ascii="Times New Roman" w:hAnsi="Times New Roman" w:cs="Times New Roman"/>
          <w:sz w:val="24"/>
          <w:szCs w:val="24"/>
        </w:rPr>
      </w:pPr>
      <w:r w:rsidRPr="00BC077B">
        <w:rPr>
          <w:rFonts w:ascii="Times New Roman" w:hAnsi="Times New Roman" w:cs="Times New Roman"/>
          <w:sz w:val="24"/>
          <w:szCs w:val="24"/>
        </w:rPr>
        <w:t xml:space="preserve">Moyo, T. (2018). Net Profit Margins and Market Challenges in Sub-Saharan Africa: Insights from the Insurance Sector. African Economic Review, 28(4), 210-225. </w:t>
      </w:r>
    </w:p>
    <w:p w14:paraId="4C7FC58B" w14:textId="77777777" w:rsidR="00E14FA4" w:rsidRPr="00BC077B" w:rsidRDefault="00E14FA4" w:rsidP="00E14FA4">
      <w:pPr>
        <w:spacing w:before="100" w:after="100" w:line="240" w:lineRule="auto"/>
        <w:ind w:left="720" w:hanging="720"/>
        <w:jc w:val="both"/>
        <w:rPr>
          <w:rFonts w:ascii="Times New Roman" w:hAnsi="Times New Roman" w:cs="Times New Roman"/>
          <w:sz w:val="24"/>
          <w:szCs w:val="24"/>
        </w:rPr>
      </w:pPr>
      <w:bookmarkStart w:id="0" w:name="_GoBack"/>
      <w:bookmarkEnd w:id="0"/>
      <w:r w:rsidRPr="00BC077B">
        <w:rPr>
          <w:rFonts w:ascii="Times New Roman" w:hAnsi="Times New Roman" w:cs="Times New Roman"/>
          <w:sz w:val="24"/>
          <w:szCs w:val="24"/>
        </w:rPr>
        <w:t xml:space="preserve">Schulz, M. (2020). Regulatory Impact on Insurance Profitability in Europe: Case Study of Germany and France. European Financial Review, 28(3), 45-60. </w:t>
      </w:r>
    </w:p>
    <w:p w14:paraId="5CCA3225" w14:textId="77777777" w:rsidR="00E14FA4" w:rsidRPr="00BC077B" w:rsidRDefault="00E14FA4" w:rsidP="00E14FA4">
      <w:pPr>
        <w:spacing w:before="100" w:after="100" w:line="240" w:lineRule="auto"/>
        <w:ind w:left="720" w:hanging="720"/>
        <w:jc w:val="both"/>
        <w:rPr>
          <w:rFonts w:ascii="Times New Roman" w:hAnsi="Times New Roman" w:cs="Times New Roman"/>
          <w:sz w:val="24"/>
          <w:szCs w:val="24"/>
        </w:rPr>
      </w:pPr>
      <w:r w:rsidRPr="00BC077B">
        <w:rPr>
          <w:rFonts w:ascii="Times New Roman" w:hAnsi="Times New Roman" w:cs="Times New Roman"/>
          <w:sz w:val="24"/>
          <w:szCs w:val="24"/>
        </w:rPr>
        <w:t xml:space="preserve">Silva, R. (2017). Profitability Trends in Developing Economies: Case of Insurance Companies in Brazil. International Journal of Economic Studies, 22(3), 78-92. </w:t>
      </w:r>
    </w:p>
    <w:sectPr w:rsidR="00E14FA4" w:rsidRPr="00BC077B" w:rsidSect="00A95E2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3A7A0A" w14:textId="77777777" w:rsidR="00E22223" w:rsidRDefault="00E22223" w:rsidP="00A95E27">
      <w:pPr>
        <w:spacing w:after="0" w:line="240" w:lineRule="auto"/>
      </w:pPr>
      <w:r>
        <w:separator/>
      </w:r>
    </w:p>
  </w:endnote>
  <w:endnote w:type="continuationSeparator" w:id="0">
    <w:p w14:paraId="34F21BE3" w14:textId="77777777" w:rsidR="00E22223" w:rsidRDefault="00E22223" w:rsidP="00A95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86ED6" w14:textId="77777777" w:rsidR="00532CAC" w:rsidRDefault="00532CA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5009638"/>
      <w:docPartObj>
        <w:docPartGallery w:val="Page Numbers (Bottom of Page)"/>
        <w:docPartUnique/>
      </w:docPartObj>
    </w:sdtPr>
    <w:sdtEndPr>
      <w:rPr>
        <w:noProof/>
      </w:rPr>
    </w:sdtEndPr>
    <w:sdtContent>
      <w:p w14:paraId="71D9F8B2" w14:textId="080A319C" w:rsidR="00A95E27" w:rsidRDefault="00A95E27">
        <w:pPr>
          <w:pStyle w:val="Footer"/>
          <w:jc w:val="center"/>
        </w:pPr>
        <w:r>
          <w:fldChar w:fldCharType="begin"/>
        </w:r>
        <w:r>
          <w:instrText xml:space="preserve"> PAGE   \* MERGEFORMAT </w:instrText>
        </w:r>
        <w:r>
          <w:fldChar w:fldCharType="separate"/>
        </w:r>
        <w:r w:rsidR="00A95D22">
          <w:rPr>
            <w:noProof/>
          </w:rPr>
          <w:t>30</w:t>
        </w:r>
        <w:r>
          <w:rPr>
            <w:noProof/>
          </w:rPr>
          <w:fldChar w:fldCharType="end"/>
        </w:r>
      </w:p>
    </w:sdtContent>
  </w:sdt>
  <w:p w14:paraId="5226AF36" w14:textId="77777777" w:rsidR="00A95E27" w:rsidRDefault="00A95E2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5D8B5" w14:textId="77777777" w:rsidR="00532CAC" w:rsidRDefault="00532CA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85F467" w14:textId="77777777" w:rsidR="00E22223" w:rsidRDefault="00E22223" w:rsidP="00A95E27">
      <w:pPr>
        <w:spacing w:after="0" w:line="240" w:lineRule="auto"/>
      </w:pPr>
      <w:r>
        <w:separator/>
      </w:r>
    </w:p>
  </w:footnote>
  <w:footnote w:type="continuationSeparator" w:id="0">
    <w:p w14:paraId="654D311B" w14:textId="77777777" w:rsidR="00E22223" w:rsidRDefault="00E22223" w:rsidP="00A95E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72557" w14:textId="77777777" w:rsidR="00532CAC" w:rsidRDefault="00532CA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066F3" w14:textId="77777777" w:rsidR="00A95E27" w:rsidRPr="0088513A" w:rsidRDefault="00A95E27" w:rsidP="00A95E27">
    <w:pPr>
      <w:tabs>
        <w:tab w:val="left" w:pos="6000"/>
      </w:tabs>
      <w:spacing w:before="100" w:after="100" w:line="240" w:lineRule="auto"/>
      <w:jc w:val="both"/>
      <w:rPr>
        <w:rFonts w:ascii="Times New Roman" w:eastAsia="Calibri" w:hAnsi="Times New Roman" w:cs="Times New Roman"/>
        <w:color w:val="0563C1"/>
        <w:kern w:val="2"/>
        <w:sz w:val="24"/>
        <w:u w:val="single"/>
      </w:rPr>
    </w:pPr>
    <w:r w:rsidRPr="0088513A">
      <w:rPr>
        <w:rFonts w:ascii="Times New Roman" w:eastAsia="Calibri" w:hAnsi="Times New Roman" w:cs="Times New Roman"/>
        <w:noProof/>
        <w:kern w:val="2"/>
        <w:sz w:val="24"/>
      </w:rPr>
      <w:drawing>
        <wp:anchor distT="0" distB="0" distL="0" distR="0" simplePos="0" relativeHeight="251659264" behindDoc="1" locked="0" layoutInCell="0" allowOverlap="1" wp14:anchorId="44561F26" wp14:editId="36F5D264">
          <wp:simplePos x="0" y="0"/>
          <wp:positionH relativeFrom="page">
            <wp:posOffset>5162550</wp:posOffset>
          </wp:positionH>
          <wp:positionV relativeFrom="paragraph">
            <wp:posOffset>-396875</wp:posOffset>
          </wp:positionV>
          <wp:extent cx="1714500" cy="8286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828675"/>
                  </a:xfrm>
                  <a:prstGeom prst="rect">
                    <a:avLst/>
                  </a:prstGeom>
                  <a:noFill/>
                </pic:spPr>
              </pic:pic>
            </a:graphicData>
          </a:graphic>
          <wp14:sizeRelH relativeFrom="page">
            <wp14:pctWidth>0</wp14:pctWidth>
          </wp14:sizeRelH>
          <wp14:sizeRelV relativeFrom="page">
            <wp14:pctHeight>0</wp14:pctHeight>
          </wp14:sizeRelV>
        </wp:anchor>
      </w:drawing>
    </w:r>
    <w:r w:rsidRPr="0088513A">
      <w:rPr>
        <w:rFonts w:ascii="Times New Roman" w:eastAsia="Calibri" w:hAnsi="Times New Roman" w:cs="Times New Roman"/>
        <w:noProof/>
        <w:kern w:val="2"/>
        <w:sz w:val="24"/>
      </w:rPr>
      <w:t>Journal of Statistics and Actuarial Research</w:t>
    </w:r>
    <w:r w:rsidRPr="0088513A">
      <w:rPr>
        <w:rFonts w:ascii="Times New Roman" w:eastAsia="Calibri" w:hAnsi="Times New Roman" w:cs="Times New Roman"/>
        <w:spacing w:val="1"/>
        <w:kern w:val="2"/>
        <w:sz w:val="24"/>
      </w:rPr>
      <w:tab/>
    </w:r>
  </w:p>
  <w:p w14:paraId="6F7A4108" w14:textId="77777777" w:rsidR="00A95E27" w:rsidRPr="0088513A" w:rsidRDefault="00A95E27" w:rsidP="00A95E27">
    <w:pPr>
      <w:tabs>
        <w:tab w:val="left" w:pos="6996"/>
      </w:tabs>
      <w:spacing w:before="100" w:after="100" w:line="240" w:lineRule="auto"/>
      <w:jc w:val="both"/>
      <w:rPr>
        <w:rFonts w:ascii="Times New Roman" w:hAnsi="Times New Roman" w:cs="Times New Roman"/>
      </w:rPr>
    </w:pPr>
    <w:r w:rsidRPr="0088513A">
      <w:rPr>
        <w:rFonts w:ascii="Times New Roman" w:hAnsi="Times New Roman" w:cs="Times New Roman"/>
      </w:rPr>
      <w:t>ISSN: 2518-881X (Online)</w:t>
    </w:r>
  </w:p>
  <w:p w14:paraId="401DB80F" w14:textId="77777777" w:rsidR="00A95E27" w:rsidRPr="0088513A" w:rsidRDefault="00A95E27" w:rsidP="00A95E27">
    <w:pPr>
      <w:tabs>
        <w:tab w:val="left" w:pos="6996"/>
      </w:tabs>
      <w:spacing w:before="100" w:after="100" w:line="240" w:lineRule="auto"/>
      <w:jc w:val="both"/>
      <w:rPr>
        <w:rFonts w:ascii="Times New Roman" w:eastAsia="Calibri" w:hAnsi="Times New Roman" w:cs="Times New Roman"/>
        <w:kern w:val="2"/>
        <w:sz w:val="24"/>
      </w:rPr>
    </w:pPr>
    <w:r w:rsidRPr="0088513A">
      <w:rPr>
        <w:rFonts w:ascii="Times New Roman" w:eastAsia="Calibri" w:hAnsi="Times New Roman" w:cs="Times New Roman"/>
        <w:kern w:val="2"/>
        <w:sz w:val="24"/>
      </w:rPr>
      <w:t>V</w:t>
    </w:r>
    <w:r w:rsidRPr="0088513A">
      <w:rPr>
        <w:rFonts w:ascii="Times New Roman" w:eastAsia="Calibri" w:hAnsi="Times New Roman" w:cs="Times New Roman"/>
        <w:spacing w:val="4"/>
        <w:kern w:val="2"/>
        <w:sz w:val="24"/>
      </w:rPr>
      <w:t>o</w:t>
    </w:r>
    <w:r w:rsidRPr="0088513A">
      <w:rPr>
        <w:rFonts w:ascii="Times New Roman" w:eastAsia="Calibri" w:hAnsi="Times New Roman" w:cs="Times New Roman"/>
        <w:spacing w:val="-9"/>
        <w:kern w:val="2"/>
        <w:sz w:val="24"/>
      </w:rPr>
      <w:t>l</w:t>
    </w:r>
    <w:r w:rsidRPr="0088513A">
      <w:rPr>
        <w:rFonts w:ascii="Times New Roman" w:eastAsia="Calibri" w:hAnsi="Times New Roman" w:cs="Times New Roman"/>
        <w:spacing w:val="2"/>
        <w:kern w:val="2"/>
        <w:sz w:val="24"/>
      </w:rPr>
      <w:t>.</w:t>
    </w:r>
    <w:r w:rsidRPr="0088513A">
      <w:rPr>
        <w:rFonts w:ascii="Times New Roman" w:eastAsia="Calibri" w:hAnsi="Times New Roman" w:cs="Times New Roman"/>
        <w:kern w:val="2"/>
        <w:sz w:val="24"/>
      </w:rPr>
      <w:t>8,</w:t>
    </w:r>
    <w:r w:rsidRPr="0088513A">
      <w:rPr>
        <w:rFonts w:ascii="Times New Roman" w:eastAsia="Calibri" w:hAnsi="Times New Roman" w:cs="Times New Roman"/>
        <w:spacing w:val="4"/>
        <w:kern w:val="2"/>
        <w:sz w:val="24"/>
      </w:rPr>
      <w:t xml:space="preserve"> </w:t>
    </w:r>
    <w:r w:rsidRPr="0088513A">
      <w:rPr>
        <w:rFonts w:ascii="Times New Roman" w:eastAsia="Calibri" w:hAnsi="Times New Roman" w:cs="Times New Roman"/>
        <w:spacing w:val="1"/>
        <w:kern w:val="2"/>
        <w:sz w:val="24"/>
      </w:rPr>
      <w:t>I</w:t>
    </w:r>
    <w:r w:rsidRPr="0088513A">
      <w:rPr>
        <w:rFonts w:ascii="Times New Roman" w:eastAsia="Calibri" w:hAnsi="Times New Roman" w:cs="Times New Roman"/>
        <w:spacing w:val="-1"/>
        <w:kern w:val="2"/>
        <w:sz w:val="24"/>
      </w:rPr>
      <w:t>s</w:t>
    </w:r>
    <w:r w:rsidRPr="0088513A">
      <w:rPr>
        <w:rFonts w:ascii="Times New Roman" w:eastAsia="Calibri" w:hAnsi="Times New Roman" w:cs="Times New Roman"/>
        <w:spacing w:val="-2"/>
        <w:kern w:val="2"/>
        <w:sz w:val="24"/>
      </w:rPr>
      <w:t>s</w:t>
    </w:r>
    <w:r w:rsidRPr="0088513A">
      <w:rPr>
        <w:rFonts w:ascii="Times New Roman" w:eastAsia="Calibri" w:hAnsi="Times New Roman" w:cs="Times New Roman"/>
        <w:kern w:val="2"/>
        <w:sz w:val="24"/>
      </w:rPr>
      <w:t>ue</w:t>
    </w:r>
    <w:r w:rsidRPr="0088513A">
      <w:rPr>
        <w:rFonts w:ascii="Times New Roman" w:eastAsia="Calibri" w:hAnsi="Times New Roman" w:cs="Times New Roman"/>
        <w:spacing w:val="2"/>
        <w:kern w:val="2"/>
        <w:sz w:val="24"/>
      </w:rPr>
      <w:t xml:space="preserve"> </w:t>
    </w:r>
    <w:r w:rsidR="00532CAC">
      <w:rPr>
        <w:rFonts w:ascii="Times New Roman" w:eastAsia="Calibri" w:hAnsi="Times New Roman" w:cs="Times New Roman"/>
        <w:kern w:val="2"/>
        <w:sz w:val="24"/>
      </w:rPr>
      <w:t>2, No.3</w:t>
    </w:r>
    <w:r w:rsidRPr="0088513A">
      <w:rPr>
        <w:rFonts w:ascii="Times New Roman" w:eastAsia="Calibri" w:hAnsi="Times New Roman" w:cs="Times New Roman"/>
        <w:kern w:val="2"/>
        <w:sz w:val="24"/>
      </w:rPr>
      <w:t>.</w:t>
    </w:r>
    <w:r w:rsidRPr="0088513A">
      <w:rPr>
        <w:rFonts w:ascii="Times New Roman" w:eastAsia="Calibri" w:hAnsi="Times New Roman" w:cs="Times New Roman"/>
        <w:spacing w:val="5"/>
        <w:kern w:val="2"/>
        <w:sz w:val="24"/>
      </w:rPr>
      <w:t xml:space="preserve"> </w:t>
    </w:r>
    <w:r w:rsidRPr="0088513A">
      <w:rPr>
        <w:rFonts w:ascii="Times New Roman" w:eastAsia="Calibri" w:hAnsi="Times New Roman" w:cs="Times New Roman"/>
        <w:kern w:val="2"/>
        <w:sz w:val="24"/>
      </w:rPr>
      <w:t xml:space="preserve">pp. </w:t>
    </w:r>
    <w:r>
      <w:rPr>
        <w:rFonts w:ascii="Times New Roman" w:eastAsia="Calibri" w:hAnsi="Times New Roman" w:cs="Times New Roman"/>
        <w:kern w:val="2"/>
        <w:sz w:val="24"/>
      </w:rPr>
      <w:t>21</w:t>
    </w:r>
    <w:r w:rsidRPr="0088513A">
      <w:rPr>
        <w:rFonts w:ascii="Times New Roman" w:eastAsia="Calibri" w:hAnsi="Times New Roman" w:cs="Times New Roman"/>
        <w:spacing w:val="-1"/>
        <w:kern w:val="2"/>
        <w:sz w:val="24"/>
      </w:rPr>
      <w:t xml:space="preserve"> </w:t>
    </w:r>
    <w:r w:rsidRPr="0088513A">
      <w:rPr>
        <w:rFonts w:ascii="Times New Roman" w:eastAsia="Calibri" w:hAnsi="Times New Roman" w:cs="Times New Roman"/>
        <w:kern w:val="2"/>
        <w:sz w:val="24"/>
      </w:rPr>
      <w:t>-</w:t>
    </w:r>
    <w:r w:rsidRPr="0088513A">
      <w:rPr>
        <w:rFonts w:ascii="Times New Roman" w:eastAsia="Calibri" w:hAnsi="Times New Roman" w:cs="Times New Roman"/>
        <w:spacing w:val="3"/>
        <w:kern w:val="2"/>
        <w:sz w:val="24"/>
      </w:rPr>
      <w:t xml:space="preserve"> </w:t>
    </w:r>
    <w:r>
      <w:rPr>
        <w:rFonts w:ascii="Times New Roman" w:eastAsia="Calibri" w:hAnsi="Times New Roman" w:cs="Times New Roman"/>
        <w:kern w:val="2"/>
        <w:sz w:val="24"/>
      </w:rPr>
      <w:t>31</w:t>
    </w:r>
    <w:r w:rsidRPr="0088513A">
      <w:rPr>
        <w:rFonts w:ascii="Times New Roman" w:eastAsia="Calibri" w:hAnsi="Times New Roman" w:cs="Times New Roman"/>
        <w:kern w:val="2"/>
        <w:sz w:val="24"/>
      </w:rPr>
      <w:t>,</w:t>
    </w:r>
    <w:r w:rsidRPr="0088513A">
      <w:rPr>
        <w:rFonts w:ascii="Times New Roman" w:eastAsia="Calibri" w:hAnsi="Times New Roman" w:cs="Times New Roman"/>
        <w:spacing w:val="3"/>
        <w:kern w:val="2"/>
        <w:sz w:val="24"/>
      </w:rPr>
      <w:t xml:space="preserve"> </w:t>
    </w:r>
    <w:r w:rsidRPr="0088513A">
      <w:rPr>
        <w:rFonts w:ascii="Times New Roman" w:eastAsia="Calibri" w:hAnsi="Times New Roman" w:cs="Times New Roman"/>
        <w:kern w:val="2"/>
        <w:sz w:val="24"/>
      </w:rPr>
      <w:t>2024</w:t>
    </w:r>
  </w:p>
  <w:p w14:paraId="4F2ADD82" w14:textId="77777777" w:rsidR="00A95E27" w:rsidRDefault="00A95E27" w:rsidP="00A95E27">
    <w:pPr>
      <w:tabs>
        <w:tab w:val="center" w:pos="4680"/>
        <w:tab w:val="right" w:pos="9360"/>
      </w:tabs>
      <w:spacing w:after="0" w:line="240" w:lineRule="auto"/>
    </w:pPr>
    <w:r w:rsidRPr="0088513A">
      <w:rPr>
        <w:noProof/>
      </w:rPr>
      <mc:AlternateContent>
        <mc:Choice Requires="wps">
          <w:drawing>
            <wp:anchor distT="4294967295" distB="4294967295" distL="0" distR="0" simplePos="0" relativeHeight="251660288" behindDoc="1" locked="0" layoutInCell="0" allowOverlap="1" wp14:anchorId="0F951B26" wp14:editId="663F4BF5">
              <wp:simplePos x="0" y="0"/>
              <wp:positionH relativeFrom="page">
                <wp:posOffset>50800</wp:posOffset>
              </wp:positionH>
              <wp:positionV relativeFrom="page">
                <wp:posOffset>1397000</wp:posOffset>
              </wp:positionV>
              <wp:extent cx="7896225" cy="45085"/>
              <wp:effectExtent l="0" t="0" r="28575" b="0"/>
              <wp:wrapNone/>
              <wp:docPr id="7"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96225" cy="45085"/>
                      </a:xfrm>
                      <a:custGeom>
                        <a:avLst/>
                        <a:gdLst/>
                        <a:ahLst/>
                        <a:cxnLst/>
                        <a:rect l="0" t="0" r="0" b="0"/>
                        <a:pathLst>
                          <a:path w="7772400">
                            <a:moveTo>
                              <a:pt x="0" y="0"/>
                            </a:moveTo>
                            <a:lnTo>
                              <a:pt x="7772400" y="0"/>
                            </a:lnTo>
                          </a:path>
                        </a:pathLst>
                      </a:custGeom>
                      <a:noFill/>
                      <a:ln w="19050" cap="flat">
                        <a:solidFill>
                          <a:srgbClr val="4F81BC"/>
                        </a:solidFill>
                        <a:prstDash/>
                      </a:ln>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w:pict>
            <v:shape w14:anchorId="4E844198" id="Freeform 18" o:spid="_x0000_s1026" style="position:absolute;margin-left:4pt;margin-top:110pt;width:621.75pt;height:3.55pt;z-index:-251656192;visibility:visible;mso-wrap-style:square;mso-width-percent:0;mso-height-percent:0;mso-wrap-distance-left:0;mso-wrap-distance-top:-3e-5mm;mso-wrap-distance-right:0;mso-wrap-distance-bottom:-3e-5mm;mso-position-horizontal:absolute;mso-position-horizontal-relative:page;mso-position-vertical:absolute;mso-position-vertical-relative:page;mso-width-percent:0;mso-height-percent:0;mso-width-relative:page;mso-height-relative:page;v-text-anchor:top" coordsize="777240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" o:allowincell="f" path="m,l7772400,e" filled="f" strokecolor="#4f81bc" strokeweight="1.5pt">
              <v:path arrowok="t" textboxrect="0,0,7772400,45085"/>
              <w10:wrap anchorx="page" anchory="page"/>
            </v:shape>
          </w:pict>
        </mc:Fallback>
      </mc:AlternateContent>
    </w:r>
    <w:r w:rsidRPr="0088513A">
      <w:rPr>
        <w:rFonts w:ascii="Times New Roman" w:eastAsia="Calibri" w:hAnsi="Times New Roman" w:cs="Times New Roman"/>
        <w:color w:val="0000FF"/>
        <w:w w:val="99"/>
        <w:kern w:val="2"/>
        <w:sz w:val="24"/>
      </w:rPr>
      <w:t xml:space="preserve">                                                                                                                          </w:t>
    </w:r>
    <w:hyperlink r:id="rId2" w:history="1">
      <w:r w:rsidRPr="0088513A">
        <w:rPr>
          <w:rFonts w:ascii="Times New Roman" w:eastAsia="Calibri" w:hAnsi="Times New Roman" w:cs="Times New Roman"/>
          <w:color w:val="0563C1"/>
          <w:w w:val="99"/>
          <w:kern w:val="2"/>
          <w:sz w:val="24"/>
          <w:u w:val="single"/>
        </w:rPr>
        <w:t>www</w:t>
      </w:r>
      <w:r w:rsidRPr="0088513A">
        <w:rPr>
          <w:rFonts w:ascii="Times New Roman" w:eastAsia="Calibri" w:hAnsi="Times New Roman" w:cs="Times New Roman"/>
          <w:color w:val="0563C1"/>
          <w:kern w:val="2"/>
          <w:sz w:val="24"/>
          <w:u w:val="single"/>
        </w:rPr>
        <w:t>.</w:t>
      </w:r>
      <w:r w:rsidRPr="0088513A">
        <w:rPr>
          <w:rFonts w:ascii="Times New Roman" w:eastAsia="Calibri" w:hAnsi="Times New Roman" w:cs="Times New Roman"/>
          <w:color w:val="0563C1"/>
          <w:spacing w:val="-8"/>
          <w:kern w:val="2"/>
          <w:sz w:val="24"/>
          <w:u w:val="single"/>
        </w:rPr>
        <w:t>i</w:t>
      </w:r>
      <w:r w:rsidRPr="0088513A">
        <w:rPr>
          <w:rFonts w:ascii="Times New Roman" w:eastAsia="Calibri" w:hAnsi="Times New Roman" w:cs="Times New Roman"/>
          <w:color w:val="0563C1"/>
          <w:kern w:val="2"/>
          <w:sz w:val="24"/>
          <w:u w:val="single"/>
        </w:rPr>
        <w:t>p</w:t>
      </w:r>
      <w:r w:rsidRPr="0088513A">
        <w:rPr>
          <w:rFonts w:ascii="Times New Roman" w:eastAsia="Calibri" w:hAnsi="Times New Roman" w:cs="Times New Roman"/>
          <w:color w:val="0563C1"/>
          <w:spacing w:val="5"/>
          <w:w w:val="99"/>
          <w:kern w:val="2"/>
          <w:sz w:val="24"/>
          <w:u w:val="single"/>
        </w:rPr>
        <w:t>r</w:t>
      </w:r>
      <w:r w:rsidRPr="0088513A">
        <w:rPr>
          <w:rFonts w:ascii="Times New Roman" w:eastAsia="Calibri" w:hAnsi="Times New Roman" w:cs="Times New Roman"/>
          <w:color w:val="0563C1"/>
          <w:spacing w:val="-3"/>
          <w:kern w:val="2"/>
          <w:sz w:val="24"/>
          <w:u w:val="single"/>
        </w:rPr>
        <w:t>j</w:t>
      </w:r>
      <w:r w:rsidRPr="0088513A">
        <w:rPr>
          <w:rFonts w:ascii="Times New Roman" w:eastAsia="Calibri" w:hAnsi="Times New Roman" w:cs="Times New Roman"/>
          <w:color w:val="0563C1"/>
          <w:spacing w:val="-5"/>
          <w:kern w:val="2"/>
          <w:sz w:val="24"/>
          <w:u w:val="single"/>
        </w:rPr>
        <w:t>b</w:t>
      </w:r>
      <w:r w:rsidRPr="0088513A">
        <w:rPr>
          <w:rFonts w:ascii="Times New Roman" w:eastAsia="Calibri" w:hAnsi="Times New Roman" w:cs="Times New Roman"/>
          <w:color w:val="0563C1"/>
          <w:spacing w:val="1"/>
          <w:kern w:val="2"/>
          <w:sz w:val="24"/>
          <w:u w:val="single"/>
        </w:rPr>
        <w:t>.</w:t>
      </w:r>
      <w:r w:rsidRPr="0088513A">
        <w:rPr>
          <w:rFonts w:ascii="Times New Roman" w:eastAsia="Calibri" w:hAnsi="Times New Roman" w:cs="Times New Roman"/>
          <w:color w:val="0563C1"/>
          <w:spacing w:val="5"/>
          <w:kern w:val="2"/>
          <w:sz w:val="24"/>
          <w:u w:val="single"/>
        </w:rPr>
        <w:t>o</w:t>
      </w:r>
      <w:r w:rsidRPr="0088513A">
        <w:rPr>
          <w:rFonts w:ascii="Times New Roman" w:eastAsia="Calibri" w:hAnsi="Times New Roman" w:cs="Times New Roman"/>
          <w:color w:val="0563C1"/>
          <w:spacing w:val="1"/>
          <w:w w:val="99"/>
          <w:kern w:val="2"/>
          <w:sz w:val="24"/>
          <w:u w:val="single"/>
        </w:rPr>
        <w:t>r</w:t>
      </w:r>
      <w:r w:rsidRPr="0088513A">
        <w:rPr>
          <w:rFonts w:ascii="Times New Roman" w:eastAsia="Calibri" w:hAnsi="Times New Roman" w:cs="Times New Roman"/>
          <w:color w:val="0563C1"/>
          <w:kern w:val="2"/>
          <w:sz w:val="24"/>
          <w:u w:val="single"/>
        </w:rPr>
        <w:t>g</w:t>
      </w:r>
    </w:hyperlink>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73A85" w14:textId="77777777" w:rsidR="00532CAC" w:rsidRDefault="00532C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DCB"/>
    <w:rsid w:val="00170CD7"/>
    <w:rsid w:val="002064D6"/>
    <w:rsid w:val="002815DC"/>
    <w:rsid w:val="00373832"/>
    <w:rsid w:val="003C766B"/>
    <w:rsid w:val="00423765"/>
    <w:rsid w:val="00532CAC"/>
    <w:rsid w:val="00616E3F"/>
    <w:rsid w:val="006A26A8"/>
    <w:rsid w:val="007D0081"/>
    <w:rsid w:val="007F0DCB"/>
    <w:rsid w:val="008046D1"/>
    <w:rsid w:val="00992208"/>
    <w:rsid w:val="009A079A"/>
    <w:rsid w:val="00A85AD5"/>
    <w:rsid w:val="00A95D22"/>
    <w:rsid w:val="00A95E27"/>
    <w:rsid w:val="00BC077B"/>
    <w:rsid w:val="00E14FA4"/>
    <w:rsid w:val="00E22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076DB"/>
  <w15:chartTrackingRefBased/>
  <w15:docId w15:val="{373B4FD6-A136-4706-8FC0-A084B2819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0DC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F0DCB"/>
    <w:rPr>
      <w:b/>
      <w:bCs/>
    </w:rPr>
  </w:style>
  <w:style w:type="character" w:styleId="Emphasis">
    <w:name w:val="Emphasis"/>
    <w:basedOn w:val="DefaultParagraphFont"/>
    <w:uiPriority w:val="20"/>
    <w:qFormat/>
    <w:rsid w:val="007F0DCB"/>
    <w:rPr>
      <w:i/>
      <w:iCs/>
    </w:rPr>
  </w:style>
  <w:style w:type="paragraph" w:styleId="Header">
    <w:name w:val="header"/>
    <w:basedOn w:val="Normal"/>
    <w:link w:val="HeaderChar"/>
    <w:uiPriority w:val="99"/>
    <w:unhideWhenUsed/>
    <w:rsid w:val="00A95E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5E27"/>
  </w:style>
  <w:style w:type="paragraph" w:styleId="Footer">
    <w:name w:val="footer"/>
    <w:basedOn w:val="Normal"/>
    <w:link w:val="FooterChar"/>
    <w:uiPriority w:val="99"/>
    <w:unhideWhenUsed/>
    <w:rsid w:val="00A95E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5E27"/>
  </w:style>
  <w:style w:type="character" w:styleId="CommentReference">
    <w:name w:val="annotation reference"/>
    <w:basedOn w:val="DefaultParagraphFont"/>
    <w:uiPriority w:val="99"/>
    <w:semiHidden/>
    <w:unhideWhenUsed/>
    <w:rsid w:val="00170CD7"/>
    <w:rPr>
      <w:sz w:val="16"/>
      <w:szCs w:val="16"/>
    </w:rPr>
  </w:style>
  <w:style w:type="paragraph" w:styleId="CommentText">
    <w:name w:val="annotation text"/>
    <w:basedOn w:val="Normal"/>
    <w:link w:val="CommentTextChar"/>
    <w:uiPriority w:val="99"/>
    <w:semiHidden/>
    <w:unhideWhenUsed/>
    <w:rsid w:val="00170CD7"/>
    <w:pPr>
      <w:spacing w:line="240" w:lineRule="auto"/>
    </w:pPr>
    <w:rPr>
      <w:sz w:val="20"/>
      <w:szCs w:val="20"/>
    </w:rPr>
  </w:style>
  <w:style w:type="character" w:customStyle="1" w:styleId="CommentTextChar">
    <w:name w:val="Comment Text Char"/>
    <w:basedOn w:val="DefaultParagraphFont"/>
    <w:link w:val="CommentText"/>
    <w:uiPriority w:val="99"/>
    <w:semiHidden/>
    <w:rsid w:val="00170CD7"/>
    <w:rPr>
      <w:sz w:val="20"/>
      <w:szCs w:val="20"/>
    </w:rPr>
  </w:style>
  <w:style w:type="paragraph" w:styleId="CommentSubject">
    <w:name w:val="annotation subject"/>
    <w:basedOn w:val="CommentText"/>
    <w:next w:val="CommentText"/>
    <w:link w:val="CommentSubjectChar"/>
    <w:uiPriority w:val="99"/>
    <w:semiHidden/>
    <w:unhideWhenUsed/>
    <w:rsid w:val="00170CD7"/>
    <w:rPr>
      <w:b/>
      <w:bCs/>
    </w:rPr>
  </w:style>
  <w:style w:type="character" w:customStyle="1" w:styleId="CommentSubjectChar">
    <w:name w:val="Comment Subject Char"/>
    <w:basedOn w:val="CommentTextChar"/>
    <w:link w:val="CommentSubject"/>
    <w:uiPriority w:val="99"/>
    <w:semiHidden/>
    <w:rsid w:val="00170CD7"/>
    <w:rPr>
      <w:b/>
      <w:bCs/>
      <w:sz w:val="20"/>
      <w:szCs w:val="20"/>
    </w:rPr>
  </w:style>
  <w:style w:type="paragraph" w:styleId="BalloonText">
    <w:name w:val="Balloon Text"/>
    <w:basedOn w:val="Normal"/>
    <w:link w:val="BalloonTextChar"/>
    <w:uiPriority w:val="99"/>
    <w:semiHidden/>
    <w:unhideWhenUsed/>
    <w:rsid w:val="00170C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0C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7536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orcid.org/"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iprjb.org"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B6720-66F8-40B5-9517-94B037AED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4222</Words>
  <Characters>24068</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2024-07-04T20:13:00Z</dcterms:created>
  <dcterms:modified xsi:type="dcterms:W3CDTF">2024-07-04T20:13:00Z</dcterms:modified>
</cp:coreProperties>
</file>